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5268" w14:textId="2B291B90" w:rsidR="00D1784E" w:rsidRPr="007D167D" w:rsidRDefault="00D1784E" w:rsidP="00D1784E">
      <w:pPr>
        <w:jc w:val="right"/>
        <w:rPr>
          <w:rFonts w:ascii="Arial" w:hAnsi="Arial" w:cs="Arial"/>
          <w:b/>
          <w:sz w:val="24"/>
          <w:szCs w:val="24"/>
        </w:rPr>
      </w:pPr>
      <w:r w:rsidRPr="007D167D">
        <w:rPr>
          <w:rFonts w:ascii="Arial" w:hAnsi="Arial" w:cs="Arial"/>
          <w:b/>
          <w:sz w:val="24"/>
          <w:szCs w:val="24"/>
        </w:rPr>
        <w:t xml:space="preserve">TRIMESTRE: </w:t>
      </w:r>
      <w:r w:rsidR="00F216AA">
        <w:rPr>
          <w:rFonts w:ascii="Arial" w:hAnsi="Arial" w:cs="Arial"/>
          <w:b/>
          <w:sz w:val="24"/>
          <w:szCs w:val="24"/>
        </w:rPr>
        <w:t>CUARTO</w:t>
      </w:r>
      <w:r w:rsidRPr="007D167D">
        <w:rPr>
          <w:rFonts w:ascii="Arial" w:hAnsi="Arial" w:cs="Arial"/>
          <w:b/>
          <w:sz w:val="24"/>
          <w:szCs w:val="24"/>
        </w:rPr>
        <w:t xml:space="preserve"> 202</w:t>
      </w:r>
      <w:r w:rsidR="00945ADC" w:rsidRPr="007D167D">
        <w:rPr>
          <w:rFonts w:ascii="Arial" w:hAnsi="Arial" w:cs="Arial"/>
          <w:b/>
          <w:sz w:val="24"/>
          <w:szCs w:val="24"/>
        </w:rPr>
        <w:t>4</w:t>
      </w:r>
      <w:r w:rsidRPr="007D167D">
        <w:rPr>
          <w:rFonts w:ascii="Arial" w:hAnsi="Arial" w:cs="Arial"/>
          <w:b/>
          <w:sz w:val="24"/>
          <w:szCs w:val="24"/>
        </w:rPr>
        <w:t>.</w:t>
      </w:r>
    </w:p>
    <w:p w14:paraId="3E3E50B3" w14:textId="77777777" w:rsidR="00D1784E" w:rsidRPr="007D167D" w:rsidRDefault="00D1784E" w:rsidP="00D1784E">
      <w:pPr>
        <w:jc w:val="right"/>
        <w:rPr>
          <w:rFonts w:ascii="Arial" w:hAnsi="Arial" w:cs="Arial"/>
          <w:b/>
          <w:sz w:val="24"/>
          <w:szCs w:val="24"/>
        </w:rPr>
      </w:pPr>
    </w:p>
    <w:p w14:paraId="77AAB299"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DE LOS ESTADOS E INFORMES CONTABLES, PRESUPUESTARIOS, PROGRAMÁTICOS Y DE LOS INDICADORES DE POSTURA</w:t>
      </w:r>
    </w:p>
    <w:p w14:paraId="6A929409"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FISCAL</w:t>
      </w:r>
    </w:p>
    <w:p w14:paraId="1446123C"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I) NOTAS A LOS ESTADOS FINANCIEROS</w:t>
      </w:r>
    </w:p>
    <w:p w14:paraId="5F365007" w14:textId="77777777" w:rsidR="007B7886" w:rsidRPr="007D167D" w:rsidRDefault="007B7886" w:rsidP="007B7886">
      <w:pPr>
        <w:jc w:val="both"/>
        <w:rPr>
          <w:rFonts w:ascii="Arial" w:hAnsi="Arial" w:cs="Arial"/>
        </w:rPr>
      </w:pPr>
      <w:r w:rsidRPr="007D167D">
        <w:rPr>
          <w:rFonts w:ascii="Arial" w:hAnsi="Arial" w:cs="Arial"/>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14:paraId="41A8FA47" w14:textId="77777777" w:rsidR="007B7886" w:rsidRPr="007D167D" w:rsidRDefault="007B7886" w:rsidP="007B7886">
      <w:pPr>
        <w:rPr>
          <w:rFonts w:ascii="Arial" w:hAnsi="Arial" w:cs="Arial"/>
        </w:rPr>
      </w:pPr>
      <w:r w:rsidRPr="007D167D">
        <w:rPr>
          <w:rFonts w:ascii="Arial" w:hAnsi="Arial" w:cs="Arial"/>
        </w:rPr>
        <w:t xml:space="preserve">A </w:t>
      </w:r>
      <w:r w:rsidR="00152D3E" w:rsidRPr="007D167D">
        <w:rPr>
          <w:rFonts w:ascii="Arial" w:hAnsi="Arial" w:cs="Arial"/>
        </w:rPr>
        <w:t>continuación,</w:t>
      </w:r>
      <w:r w:rsidRPr="007D167D">
        <w:rPr>
          <w:rFonts w:ascii="Arial" w:hAnsi="Arial" w:cs="Arial"/>
        </w:rPr>
        <w:t xml:space="preserve"> se presentan los tres tipos de notas que acompañan a los estados, a saber:</w:t>
      </w:r>
    </w:p>
    <w:p w14:paraId="0A96588D" w14:textId="77777777" w:rsidR="007B7886" w:rsidRPr="007D167D" w:rsidRDefault="007B7886" w:rsidP="007B7886">
      <w:pPr>
        <w:ind w:left="1134"/>
        <w:rPr>
          <w:rFonts w:ascii="Arial" w:hAnsi="Arial" w:cs="Arial"/>
        </w:rPr>
      </w:pPr>
      <w:r w:rsidRPr="007D167D">
        <w:rPr>
          <w:rFonts w:ascii="Arial" w:hAnsi="Arial" w:cs="Arial"/>
        </w:rPr>
        <w:t>a) Notas de desglose;</w:t>
      </w:r>
    </w:p>
    <w:p w14:paraId="44CFDC22" w14:textId="77777777" w:rsidR="007B7886" w:rsidRPr="007D167D" w:rsidRDefault="007B7886" w:rsidP="007B7886">
      <w:pPr>
        <w:ind w:left="1134"/>
        <w:rPr>
          <w:rFonts w:ascii="Arial" w:hAnsi="Arial" w:cs="Arial"/>
        </w:rPr>
      </w:pPr>
      <w:r w:rsidRPr="007D167D">
        <w:rPr>
          <w:rFonts w:ascii="Arial" w:hAnsi="Arial" w:cs="Arial"/>
        </w:rPr>
        <w:t>b) Notas de memoria (cuentas de orden), y</w:t>
      </w:r>
    </w:p>
    <w:p w14:paraId="753CE60E" w14:textId="77777777" w:rsidR="007B7886" w:rsidRPr="007D167D" w:rsidRDefault="007B7886" w:rsidP="007B7886">
      <w:pPr>
        <w:ind w:left="1134"/>
        <w:rPr>
          <w:rFonts w:ascii="Arial" w:hAnsi="Arial" w:cs="Arial"/>
        </w:rPr>
      </w:pPr>
      <w:r w:rsidRPr="007D167D">
        <w:rPr>
          <w:rFonts w:ascii="Arial" w:hAnsi="Arial" w:cs="Arial"/>
        </w:rPr>
        <w:t>c) Notas de gestión administrativa.</w:t>
      </w:r>
    </w:p>
    <w:p w14:paraId="3C52A1E5" w14:textId="491C3C5A" w:rsidR="007B7886" w:rsidRDefault="007B7886" w:rsidP="007B7886">
      <w:pPr>
        <w:rPr>
          <w:rFonts w:ascii="Arial" w:hAnsi="Arial" w:cs="Arial"/>
        </w:rPr>
      </w:pPr>
    </w:p>
    <w:p w14:paraId="5A434270" w14:textId="2CABCF70" w:rsidR="0094757B" w:rsidRPr="007D167D" w:rsidRDefault="0094757B" w:rsidP="00AE10DA">
      <w:pPr>
        <w:jc w:val="center"/>
        <w:rPr>
          <w:rFonts w:ascii="Arial" w:hAnsi="Arial" w:cs="Arial"/>
        </w:rPr>
      </w:pPr>
      <w:r>
        <w:rPr>
          <w:rFonts w:ascii="Arial" w:hAnsi="Arial" w:cs="Arial"/>
          <w:b/>
        </w:rPr>
        <w:t>a</w:t>
      </w:r>
      <w:r w:rsidRPr="007D167D">
        <w:rPr>
          <w:rFonts w:ascii="Arial" w:hAnsi="Arial" w:cs="Arial"/>
          <w:b/>
        </w:rPr>
        <w:t>). - NOTAS DE GESTIÓN ADMINISTRATIVA.</w:t>
      </w:r>
    </w:p>
    <w:p w14:paraId="6158B806" w14:textId="77777777" w:rsidR="0094757B" w:rsidRPr="007D167D" w:rsidRDefault="0094757B" w:rsidP="0094757B">
      <w:pPr>
        <w:rPr>
          <w:rFonts w:ascii="Arial" w:hAnsi="Arial" w:cs="Arial"/>
          <w:b/>
        </w:rPr>
      </w:pPr>
      <w:r w:rsidRPr="007D167D">
        <w:rPr>
          <w:rFonts w:ascii="Arial" w:hAnsi="Arial" w:cs="Arial"/>
          <w:b/>
        </w:rPr>
        <w:t>1. Introducción.</w:t>
      </w:r>
    </w:p>
    <w:p w14:paraId="2398A941" w14:textId="77777777" w:rsidR="0094757B" w:rsidRPr="007D167D" w:rsidRDefault="0094757B" w:rsidP="0094757B">
      <w:pPr>
        <w:jc w:val="both"/>
        <w:rPr>
          <w:rFonts w:ascii="Arial" w:hAnsi="Arial" w:cs="Arial"/>
        </w:rPr>
      </w:pPr>
      <w:r w:rsidRPr="007D167D">
        <w:rPr>
          <w:rFonts w:ascii="Arial" w:hAnsi="Arial" w:cs="Arial"/>
        </w:rPr>
        <w:t>Los Estados Financieros del Instituto Tecnológico Superior de Puerto Peñasco, proveen de información financiera a sus principales usuarios, la ciudadanía, a los administradores de la Secretar</w:t>
      </w:r>
      <w:r>
        <w:rPr>
          <w:rFonts w:ascii="Arial" w:hAnsi="Arial" w:cs="Arial"/>
        </w:rPr>
        <w:t>í</w:t>
      </w:r>
      <w:r w:rsidRPr="007D167D">
        <w:rPr>
          <w:rFonts w:ascii="Arial" w:hAnsi="Arial" w:cs="Arial"/>
        </w:rPr>
        <w:t xml:space="preserve">a de Hacienda que integran el Poder Ejecutivo del Gobierno del Estado, al H. Congreso del Estado de Sonora, a las Entidades Fiscalizadoras. </w:t>
      </w:r>
    </w:p>
    <w:p w14:paraId="32A1EBBF" w14:textId="77777777" w:rsidR="0094757B" w:rsidRPr="007D167D" w:rsidRDefault="0094757B" w:rsidP="0094757B">
      <w:pPr>
        <w:jc w:val="both"/>
        <w:rPr>
          <w:rFonts w:ascii="Arial" w:hAnsi="Arial" w:cs="Arial"/>
        </w:rPr>
      </w:pPr>
      <w:r w:rsidRPr="007D167D">
        <w:rPr>
          <w:rFonts w:ascii="Arial" w:hAnsi="Arial" w:cs="Arial"/>
        </w:rPr>
        <w:t xml:space="preserve">El objetivo del presente documento es la revelación del contexto y de los aspectos económicos financieros más relevantes que influyeron en las decisiones del periodo y que deberán ser considerados en la elaboración de los estados financieros para la mayor compresión de los mismos. </w:t>
      </w:r>
    </w:p>
    <w:p w14:paraId="08DDBCA8" w14:textId="77777777" w:rsidR="0094757B" w:rsidRPr="007D167D" w:rsidRDefault="0094757B" w:rsidP="0094757B">
      <w:pPr>
        <w:jc w:val="both"/>
        <w:rPr>
          <w:rFonts w:ascii="Arial" w:hAnsi="Arial" w:cs="Arial"/>
        </w:rPr>
      </w:pPr>
      <w:r w:rsidRPr="007D167D">
        <w:rPr>
          <w:rFonts w:ascii="Arial" w:hAnsi="Arial" w:cs="Arial"/>
        </w:rPr>
        <w:t>Los Estados Financieros del Instituto Tecnológico Superior de Puerto Peñasco son elaborados por la Subdirección de Servicios Administrativos a través del departamento de Recursos Financieros con sustento a las disposiciones legales, normas contables y presupuestales del Estado, con avances en el apego a los criterios de armonización que dicta la Ley General de Contabilidad Gubernamental y las Normas y Metodologías para la Emisión de la Información Financiera y con la Estructura de los Estados Financieros básicos emitidos por el Consejo Nacional de Armonización Contable (CONAC), siendo esta una fuente de información confiable, que facilita las tareas de evaluación y fiscalización del origen de los ingresos y del destino del gasto, cabe señalar aún se están realizando trabajos para el registro de los momentos contables en las cuentas de orden.</w:t>
      </w:r>
    </w:p>
    <w:p w14:paraId="7FBFC1DA" w14:textId="260904B9" w:rsidR="0094757B" w:rsidRPr="007D167D" w:rsidRDefault="0094757B" w:rsidP="0094757B">
      <w:pPr>
        <w:jc w:val="both"/>
        <w:rPr>
          <w:rFonts w:ascii="Arial" w:hAnsi="Arial" w:cs="Arial"/>
          <w:b/>
        </w:rPr>
      </w:pPr>
      <w:r>
        <w:rPr>
          <w:rFonts w:ascii="Arial" w:hAnsi="Arial" w:cs="Arial"/>
          <w:b/>
        </w:rPr>
        <w:lastRenderedPageBreak/>
        <w:t>2</w:t>
      </w:r>
      <w:r w:rsidRPr="007D167D">
        <w:rPr>
          <w:rFonts w:ascii="Arial" w:hAnsi="Arial" w:cs="Arial"/>
          <w:b/>
        </w:rPr>
        <w:t>.-Autorización e Historia</w:t>
      </w:r>
    </w:p>
    <w:p w14:paraId="7A7CB8CF" w14:textId="77777777" w:rsidR="0094757B" w:rsidRPr="007D167D" w:rsidRDefault="0094757B" w:rsidP="0094757B">
      <w:pPr>
        <w:jc w:val="both"/>
        <w:rPr>
          <w:rFonts w:ascii="Arial" w:hAnsi="Arial" w:cs="Arial"/>
          <w:b/>
        </w:rPr>
      </w:pPr>
      <w:r w:rsidRPr="007D167D">
        <w:rPr>
          <w:rFonts w:ascii="Arial" w:hAnsi="Arial" w:cs="Arial"/>
          <w:b/>
        </w:rPr>
        <w:t xml:space="preserve">a) Fecha de creación del ente. </w:t>
      </w:r>
    </w:p>
    <w:p w14:paraId="1DCADDB4" w14:textId="77777777" w:rsidR="0094757B" w:rsidRPr="007D167D" w:rsidRDefault="0094757B" w:rsidP="0094757B">
      <w:pPr>
        <w:jc w:val="both"/>
        <w:rPr>
          <w:rFonts w:ascii="Arial" w:hAnsi="Arial" w:cs="Arial"/>
        </w:rPr>
      </w:pPr>
      <w:r w:rsidRPr="007D167D">
        <w:rPr>
          <w:rFonts w:ascii="Arial" w:hAnsi="Arial" w:cs="Arial"/>
        </w:rPr>
        <w:t xml:space="preserve">El Instituto Tecnológico Superior de Puerto Peñasco es un organismo descentralizado de la administración pública estatal, con personalidad jurídica y patrimonio propio, con el objeto de impartir e impulsar la educación de tipo superior correspondiente al nivel Licenciatura. </w:t>
      </w:r>
    </w:p>
    <w:p w14:paraId="0AA809A7" w14:textId="63979BA1" w:rsidR="0094757B" w:rsidRPr="007D167D" w:rsidRDefault="0094757B" w:rsidP="0094757B">
      <w:pPr>
        <w:jc w:val="both"/>
        <w:rPr>
          <w:rFonts w:ascii="Arial" w:hAnsi="Arial" w:cs="Arial"/>
        </w:rPr>
      </w:pPr>
      <w:r w:rsidRPr="007D167D">
        <w:rPr>
          <w:rFonts w:ascii="Arial" w:hAnsi="Arial" w:cs="Arial"/>
        </w:rPr>
        <w:t xml:space="preserve">El Gobierno del Estado de Sonora, suscribió el 30 de </w:t>
      </w:r>
      <w:r w:rsidR="008365E9" w:rsidRPr="007D167D">
        <w:rPr>
          <w:rFonts w:ascii="Arial" w:hAnsi="Arial" w:cs="Arial"/>
        </w:rPr>
        <w:t>agosto</w:t>
      </w:r>
      <w:r w:rsidRPr="007D167D">
        <w:rPr>
          <w:rFonts w:ascii="Arial" w:hAnsi="Arial" w:cs="Arial"/>
        </w:rPr>
        <w:t xml:space="preserve"> de 2000, un convenio con la Secretaría de educación pública, mediante el cual ambas entidades se comprometen a crear y sostener el Instituto Tecnológico Superior de Puerto Peñasco, lo anterior con el objetivo de brindar en el municipio de Puerto Peñasco la opción de Educación Superior de Calidad. </w:t>
      </w:r>
    </w:p>
    <w:p w14:paraId="6B86F52D" w14:textId="77777777" w:rsidR="0094757B" w:rsidRPr="007D167D" w:rsidRDefault="0094757B" w:rsidP="0094757B">
      <w:pPr>
        <w:jc w:val="both"/>
        <w:rPr>
          <w:rFonts w:ascii="Arial" w:hAnsi="Arial" w:cs="Arial"/>
          <w:b/>
        </w:rPr>
      </w:pPr>
      <w:r w:rsidRPr="007D167D">
        <w:rPr>
          <w:rFonts w:ascii="Arial" w:hAnsi="Arial" w:cs="Arial"/>
          <w:b/>
        </w:rPr>
        <w:t>b) Principales cambios en su estructura.</w:t>
      </w:r>
    </w:p>
    <w:p w14:paraId="3378B151" w14:textId="77777777" w:rsidR="0094757B" w:rsidRPr="007D167D" w:rsidRDefault="0094757B" w:rsidP="0094757B">
      <w:pPr>
        <w:jc w:val="both"/>
        <w:rPr>
          <w:rFonts w:ascii="Arial" w:hAnsi="Arial" w:cs="Arial"/>
        </w:rPr>
      </w:pPr>
      <w:r w:rsidRPr="007D167D">
        <w:rPr>
          <w:rFonts w:ascii="Arial" w:hAnsi="Arial" w:cs="Arial"/>
        </w:rPr>
        <w:t>Las modificaciones que se han presentado por parte de esta Institución desde su creación, se basan en la transición de la Estructura A, así la Estructura B autorizada en la I Sesión Extraordinaria de la H. Junta Directiva, realizadas el 26 de abril del 2012, lo anterior derivado del Incremento en la oferta educativa.</w:t>
      </w:r>
    </w:p>
    <w:p w14:paraId="38372E8B" w14:textId="77777777" w:rsidR="0094757B" w:rsidRPr="007D167D" w:rsidRDefault="0094757B" w:rsidP="0094757B">
      <w:pPr>
        <w:jc w:val="both"/>
        <w:rPr>
          <w:rFonts w:ascii="Arial" w:hAnsi="Arial" w:cs="Arial"/>
        </w:rPr>
      </w:pPr>
      <w:r w:rsidRPr="007D167D">
        <w:rPr>
          <w:rFonts w:ascii="Arial" w:hAnsi="Arial" w:cs="Arial"/>
        </w:rPr>
        <w:t>El Instituto Tecnológico Superior de Puerto Peñasco es un organismo público descentralizado delo Gobierno el Estado de Sonora, dorado de personalidad jurídica y patrimonios propios.</w:t>
      </w:r>
    </w:p>
    <w:p w14:paraId="7A6205AF" w14:textId="4EFBF432" w:rsidR="0094757B" w:rsidRDefault="0094757B" w:rsidP="0094757B">
      <w:pPr>
        <w:jc w:val="both"/>
        <w:rPr>
          <w:rFonts w:ascii="Arial" w:hAnsi="Arial" w:cs="Arial"/>
          <w:b/>
        </w:rPr>
      </w:pPr>
    </w:p>
    <w:p w14:paraId="32D3F94F" w14:textId="77777777" w:rsidR="0094757B" w:rsidRDefault="0094757B" w:rsidP="0094757B">
      <w:pPr>
        <w:jc w:val="both"/>
        <w:rPr>
          <w:rFonts w:ascii="Arial" w:hAnsi="Arial" w:cs="Arial"/>
          <w:b/>
        </w:rPr>
      </w:pPr>
    </w:p>
    <w:p w14:paraId="3D9B2A56" w14:textId="76E6CFBC" w:rsidR="0094757B" w:rsidRPr="007D167D" w:rsidRDefault="0094757B" w:rsidP="0094757B">
      <w:pPr>
        <w:jc w:val="both"/>
        <w:rPr>
          <w:rFonts w:ascii="Arial" w:hAnsi="Arial" w:cs="Arial"/>
          <w:b/>
        </w:rPr>
      </w:pPr>
      <w:r>
        <w:rPr>
          <w:rFonts w:ascii="Arial" w:hAnsi="Arial" w:cs="Arial"/>
          <w:b/>
        </w:rPr>
        <w:t>3</w:t>
      </w:r>
      <w:r w:rsidRPr="007D167D">
        <w:rPr>
          <w:rFonts w:ascii="Arial" w:hAnsi="Arial" w:cs="Arial"/>
          <w:b/>
        </w:rPr>
        <w:t>.- Panorama Económico y Financiero.</w:t>
      </w:r>
    </w:p>
    <w:p w14:paraId="04B3ECA7" w14:textId="77777777" w:rsidR="0094757B" w:rsidRPr="007D167D" w:rsidRDefault="0094757B" w:rsidP="0094757B">
      <w:pPr>
        <w:jc w:val="both"/>
        <w:rPr>
          <w:rFonts w:ascii="Arial" w:hAnsi="Arial" w:cs="Arial"/>
        </w:rPr>
      </w:pPr>
      <w:r w:rsidRPr="007D167D">
        <w:rPr>
          <w:rFonts w:ascii="Arial" w:hAnsi="Arial" w:cs="Arial"/>
        </w:rPr>
        <w:t xml:space="preserve">En lo que se refiere al entorno en el cual se han desarrollado las operaciones del Instituto Tecnológico Superior de Puerto Peñasco, se presentan bajo la expectativa de mejores condiciones económicas por parte de los apoyos que recibe de los Gobiernos del Estado y Gobierno Federal, que de cierta manera incide en el logro de  las actividades propias del Instituto;  de igual manera se cuenta con  la captación de recursos propios, destinados de igual manera al cumplimiento de las actividades de la Institución. </w:t>
      </w:r>
    </w:p>
    <w:p w14:paraId="71B851F0" w14:textId="297A2FB8" w:rsidR="0094757B" w:rsidRDefault="0094757B" w:rsidP="0094757B">
      <w:pPr>
        <w:jc w:val="both"/>
        <w:rPr>
          <w:rFonts w:ascii="Arial" w:hAnsi="Arial" w:cs="Arial"/>
        </w:rPr>
      </w:pPr>
      <w:r w:rsidRPr="007D167D">
        <w:rPr>
          <w:rFonts w:ascii="Arial" w:hAnsi="Arial" w:cs="Arial"/>
        </w:rPr>
        <w:t xml:space="preserve">Lo anterior, implica realizar un esfuerzo en la aplicación de los recursos, aunado a las medidas y condiciones de austeridad y de racionalidad. Sin embargo, la Institución ha crecido en su cobertura educativa y tal esfuerzo ha sido con los mismos recursos presupuestales. </w:t>
      </w:r>
    </w:p>
    <w:p w14:paraId="4F857C3C" w14:textId="091008B2" w:rsidR="0094757B" w:rsidRDefault="0094757B" w:rsidP="0094757B">
      <w:pPr>
        <w:jc w:val="both"/>
        <w:rPr>
          <w:rFonts w:ascii="Arial" w:hAnsi="Arial" w:cs="Arial"/>
        </w:rPr>
      </w:pPr>
    </w:p>
    <w:p w14:paraId="472A4298" w14:textId="77777777" w:rsidR="0094757B" w:rsidRPr="007D167D" w:rsidRDefault="0094757B" w:rsidP="0094757B">
      <w:pPr>
        <w:jc w:val="both"/>
        <w:rPr>
          <w:rFonts w:ascii="Arial" w:hAnsi="Arial" w:cs="Arial"/>
        </w:rPr>
      </w:pPr>
    </w:p>
    <w:p w14:paraId="472C4C56" w14:textId="77777777" w:rsidR="0094757B" w:rsidRPr="007D167D" w:rsidRDefault="0094757B" w:rsidP="0094757B">
      <w:pPr>
        <w:jc w:val="both"/>
        <w:rPr>
          <w:rFonts w:ascii="Arial" w:hAnsi="Arial" w:cs="Arial"/>
          <w:b/>
        </w:rPr>
      </w:pPr>
      <w:r w:rsidRPr="007D167D">
        <w:rPr>
          <w:rFonts w:ascii="Arial" w:hAnsi="Arial" w:cs="Arial"/>
          <w:b/>
        </w:rPr>
        <w:t xml:space="preserve">4.- Organización y Objeto Social. </w:t>
      </w:r>
    </w:p>
    <w:p w14:paraId="09796BAB" w14:textId="77777777" w:rsidR="0094757B" w:rsidRPr="007D167D" w:rsidRDefault="0094757B" w:rsidP="0094757B">
      <w:pPr>
        <w:jc w:val="both"/>
        <w:rPr>
          <w:rFonts w:ascii="Arial" w:hAnsi="Arial" w:cs="Arial"/>
          <w:b/>
        </w:rPr>
      </w:pPr>
      <w:r w:rsidRPr="007D167D">
        <w:rPr>
          <w:rFonts w:ascii="Arial" w:hAnsi="Arial" w:cs="Arial"/>
          <w:b/>
        </w:rPr>
        <w:t xml:space="preserve">a) Objeto Social. </w:t>
      </w:r>
    </w:p>
    <w:p w14:paraId="12242C3B" w14:textId="77777777" w:rsidR="0094757B" w:rsidRPr="007D167D" w:rsidRDefault="0094757B" w:rsidP="0094757B">
      <w:pPr>
        <w:jc w:val="both"/>
        <w:rPr>
          <w:rFonts w:ascii="Arial" w:hAnsi="Arial" w:cs="Arial"/>
        </w:rPr>
      </w:pPr>
      <w:r w:rsidRPr="007D167D">
        <w:rPr>
          <w:rFonts w:ascii="Arial" w:hAnsi="Arial" w:cs="Arial"/>
        </w:rPr>
        <w:t>El Instituto Tecnológico Superior de Puerto Peñasco, tiene por objeto de acuerdo a lo señalado en el Decreto de Creación y al Reglamento Interno:</w:t>
      </w:r>
    </w:p>
    <w:p w14:paraId="10C19440" w14:textId="77777777" w:rsidR="0094757B" w:rsidRPr="007D167D" w:rsidRDefault="0094757B" w:rsidP="0094757B">
      <w:pPr>
        <w:ind w:left="567"/>
        <w:jc w:val="both"/>
        <w:rPr>
          <w:rFonts w:ascii="Arial" w:hAnsi="Arial" w:cs="Arial"/>
        </w:rPr>
      </w:pPr>
      <w:r w:rsidRPr="007D167D">
        <w:rPr>
          <w:rFonts w:ascii="Arial" w:hAnsi="Arial" w:cs="Arial"/>
        </w:rPr>
        <w:lastRenderedPageBreak/>
        <w:t>I.- Impartir educación del tipo superior tecnológica, para formar profesionistas, profesores e investigadores aptos para la aplicación y generación de conocimientos y la solución creativa de los problemas, con un sentido de innovación en la incorporación de avances científicos y tecnológicos de acuerdo a los requerimientos del desarrollo económico y social de la región del Estado y el país;</w:t>
      </w:r>
    </w:p>
    <w:p w14:paraId="6D61134B" w14:textId="77777777" w:rsidR="0094757B" w:rsidRPr="007D167D" w:rsidRDefault="0094757B" w:rsidP="0094757B">
      <w:pPr>
        <w:ind w:left="567"/>
        <w:jc w:val="both"/>
        <w:rPr>
          <w:rFonts w:ascii="Arial" w:hAnsi="Arial" w:cs="Arial"/>
        </w:rPr>
      </w:pPr>
      <w:r w:rsidRPr="007D167D">
        <w:rPr>
          <w:rFonts w:ascii="Arial" w:hAnsi="Arial" w:cs="Arial"/>
        </w:rPr>
        <w:t>II. Realizar investigaciones científicas y tecnológicas que permitan el avance del conocimiento, el desarrollo de la enseñanza tecnológica y el mejor aprovechamiento social de los recursos naturales y materiales,</w:t>
      </w:r>
    </w:p>
    <w:p w14:paraId="402E1F5B" w14:textId="77777777" w:rsidR="0094757B" w:rsidRPr="007D167D" w:rsidRDefault="0094757B" w:rsidP="0094757B">
      <w:pPr>
        <w:ind w:left="567"/>
        <w:jc w:val="both"/>
        <w:rPr>
          <w:rFonts w:ascii="Arial" w:hAnsi="Arial" w:cs="Arial"/>
        </w:rPr>
      </w:pPr>
      <w:r w:rsidRPr="007D167D">
        <w:rPr>
          <w:rFonts w:ascii="Arial" w:hAnsi="Arial" w:cs="Arial"/>
        </w:rPr>
        <w:t>III. Realizar investigaciones científicas y tecnológicas que se traduzcan en aportaciones concretas que contribuyan al mejoramiento y eficiencia de la producción industrial y de servicios y a la elevación de la calidad de vida de la comunidad;</w:t>
      </w:r>
    </w:p>
    <w:p w14:paraId="4475AA51" w14:textId="77777777" w:rsidR="0094757B" w:rsidRPr="007D167D" w:rsidRDefault="0094757B" w:rsidP="0094757B">
      <w:pPr>
        <w:ind w:left="567"/>
        <w:jc w:val="both"/>
        <w:rPr>
          <w:rFonts w:ascii="Arial" w:hAnsi="Arial" w:cs="Arial"/>
        </w:rPr>
      </w:pPr>
      <w:r w:rsidRPr="007D167D">
        <w:rPr>
          <w:rFonts w:ascii="Arial" w:hAnsi="Arial" w:cs="Arial"/>
        </w:rPr>
        <w:t>IV. Colaborar con los sectores público, privado y social en la consolidación del desarrollo tecnológico y social de la comunidad; y</w:t>
      </w:r>
    </w:p>
    <w:p w14:paraId="7113D178" w14:textId="77777777" w:rsidR="0094757B" w:rsidRPr="007D167D" w:rsidRDefault="0094757B" w:rsidP="0094757B">
      <w:pPr>
        <w:ind w:left="567"/>
        <w:jc w:val="both"/>
        <w:rPr>
          <w:rFonts w:ascii="Arial" w:hAnsi="Arial" w:cs="Arial"/>
        </w:rPr>
      </w:pPr>
      <w:r w:rsidRPr="007D167D">
        <w:rPr>
          <w:rFonts w:ascii="Arial" w:hAnsi="Arial" w:cs="Arial"/>
        </w:rPr>
        <w:t>V. Promover la cultura nacional y universal, especialmente la de carácter tecnológico.</w:t>
      </w:r>
    </w:p>
    <w:p w14:paraId="2057E5F3" w14:textId="77777777" w:rsidR="0094757B" w:rsidRPr="007D167D" w:rsidRDefault="0094757B" w:rsidP="0094757B">
      <w:pPr>
        <w:jc w:val="both"/>
        <w:rPr>
          <w:rFonts w:ascii="Arial" w:hAnsi="Arial" w:cs="Arial"/>
          <w:b/>
        </w:rPr>
      </w:pPr>
    </w:p>
    <w:p w14:paraId="671D70C5" w14:textId="77777777" w:rsidR="0094757B" w:rsidRPr="007D167D" w:rsidRDefault="0094757B" w:rsidP="0094757B">
      <w:pPr>
        <w:jc w:val="both"/>
        <w:rPr>
          <w:rFonts w:ascii="Arial" w:hAnsi="Arial" w:cs="Arial"/>
          <w:b/>
        </w:rPr>
      </w:pPr>
      <w:r w:rsidRPr="007D167D">
        <w:rPr>
          <w:rFonts w:ascii="Arial" w:hAnsi="Arial" w:cs="Arial"/>
          <w:b/>
        </w:rPr>
        <w:t xml:space="preserve">b) Principal actividad. </w:t>
      </w:r>
    </w:p>
    <w:p w14:paraId="6F7C1912" w14:textId="77777777" w:rsidR="0094757B" w:rsidRPr="007D167D" w:rsidRDefault="0094757B" w:rsidP="0094757B">
      <w:pPr>
        <w:jc w:val="both"/>
        <w:rPr>
          <w:rFonts w:ascii="Arial" w:hAnsi="Arial" w:cs="Arial"/>
        </w:rPr>
      </w:pPr>
      <w:r w:rsidRPr="007D167D">
        <w:rPr>
          <w:rFonts w:ascii="Arial" w:hAnsi="Arial" w:cs="Arial"/>
        </w:rPr>
        <w:t xml:space="preserve">La administración del Instituto Tecnológico Superior de Puerto Peñasco para el desarrollo de su principal actividad tendrá las siguientes facultades y obligaciones: </w:t>
      </w:r>
    </w:p>
    <w:p w14:paraId="06DAA9C6" w14:textId="77777777" w:rsidR="0094757B" w:rsidRPr="007D167D" w:rsidRDefault="0094757B" w:rsidP="0094757B">
      <w:pPr>
        <w:ind w:left="567"/>
        <w:jc w:val="both"/>
        <w:rPr>
          <w:rFonts w:ascii="Arial" w:hAnsi="Arial" w:cs="Arial"/>
        </w:rPr>
      </w:pPr>
      <w:r w:rsidRPr="007D167D">
        <w:rPr>
          <w:rFonts w:ascii="Arial" w:hAnsi="Arial" w:cs="Arial"/>
        </w:rPr>
        <w:t>I.- Crear la organización administrativa que le sea conveniente y contratar los recursos humanos necesarios para su operación de conformidad con el presupuesto anual de egresos aprobado por la Junta Directiva;</w:t>
      </w:r>
    </w:p>
    <w:p w14:paraId="0DAFC981" w14:textId="77777777" w:rsidR="0094757B" w:rsidRPr="007D167D" w:rsidRDefault="0094757B" w:rsidP="0094757B">
      <w:pPr>
        <w:ind w:left="567"/>
        <w:jc w:val="both"/>
        <w:rPr>
          <w:rFonts w:ascii="Arial" w:hAnsi="Arial" w:cs="Arial"/>
        </w:rPr>
      </w:pPr>
      <w:r w:rsidRPr="007D167D">
        <w:rPr>
          <w:rFonts w:ascii="Arial" w:hAnsi="Arial" w:cs="Arial"/>
        </w:rPr>
        <w:t>II.- Impartir educación superior en las áreas industrial y de servicios, así como cursos de actualización y superación académica;</w:t>
      </w:r>
    </w:p>
    <w:p w14:paraId="2BD212A9" w14:textId="77777777" w:rsidR="0094757B" w:rsidRPr="007D167D" w:rsidRDefault="0094757B" w:rsidP="0094757B">
      <w:pPr>
        <w:ind w:left="567"/>
        <w:jc w:val="both"/>
        <w:rPr>
          <w:rFonts w:ascii="Arial" w:hAnsi="Arial" w:cs="Arial"/>
        </w:rPr>
      </w:pPr>
      <w:r w:rsidRPr="007D167D">
        <w:rPr>
          <w:rFonts w:ascii="Arial" w:hAnsi="Arial" w:cs="Arial"/>
        </w:rPr>
        <w:t>III.- Someter los planes y programas de estudio, así como sus adiciones o reformas a la aprobación de la autoridad correspondiente;</w:t>
      </w:r>
    </w:p>
    <w:p w14:paraId="3522AB19" w14:textId="77777777" w:rsidR="0094757B" w:rsidRPr="007D167D" w:rsidRDefault="0094757B" w:rsidP="0094757B">
      <w:pPr>
        <w:ind w:left="567"/>
        <w:jc w:val="both"/>
        <w:rPr>
          <w:rFonts w:ascii="Arial" w:hAnsi="Arial" w:cs="Arial"/>
        </w:rPr>
      </w:pPr>
      <w:r w:rsidRPr="007D167D">
        <w:rPr>
          <w:rFonts w:ascii="Arial" w:hAnsi="Arial" w:cs="Arial"/>
        </w:rPr>
        <w:t>IV.- Incorporar, otorgar o retirar reconocimientos de validez a los estudios realizados en planteles particulares que imparten educación superior;</w:t>
      </w:r>
    </w:p>
    <w:p w14:paraId="0E0A9F6C" w14:textId="77777777" w:rsidR="0094757B" w:rsidRPr="007D167D" w:rsidRDefault="0094757B" w:rsidP="0094757B">
      <w:pPr>
        <w:ind w:left="567"/>
        <w:jc w:val="both"/>
        <w:rPr>
          <w:rFonts w:ascii="Arial" w:hAnsi="Arial" w:cs="Arial"/>
        </w:rPr>
      </w:pPr>
      <w:r w:rsidRPr="007D167D">
        <w:rPr>
          <w:rFonts w:ascii="Arial" w:hAnsi="Arial" w:cs="Arial"/>
        </w:rPr>
        <w:t>V.- Organizar y desarrollar programas de intercambio académico y colaboración profesional con organismos e instituciones culturales, educativas, científicas de investigación, nacionales y extranjeras.</w:t>
      </w:r>
    </w:p>
    <w:p w14:paraId="4892B4B2" w14:textId="77777777" w:rsidR="0094757B" w:rsidRPr="007D167D" w:rsidRDefault="0094757B" w:rsidP="0094757B">
      <w:pPr>
        <w:ind w:left="567"/>
        <w:jc w:val="both"/>
        <w:rPr>
          <w:rFonts w:ascii="Arial" w:hAnsi="Arial" w:cs="Arial"/>
        </w:rPr>
      </w:pPr>
      <w:r w:rsidRPr="007D167D">
        <w:rPr>
          <w:rFonts w:ascii="Arial" w:hAnsi="Arial" w:cs="Arial"/>
        </w:rPr>
        <w:t>VI.-Regular el desarrollo de sus funciones sustantivas: docencia, investigación y difusión cultural;</w:t>
      </w:r>
    </w:p>
    <w:p w14:paraId="3F2AEEED" w14:textId="77777777" w:rsidR="0094757B" w:rsidRPr="007D167D" w:rsidRDefault="0094757B" w:rsidP="0094757B">
      <w:pPr>
        <w:ind w:left="567"/>
        <w:jc w:val="both"/>
        <w:rPr>
          <w:rFonts w:ascii="Arial" w:hAnsi="Arial" w:cs="Arial"/>
        </w:rPr>
      </w:pPr>
      <w:r w:rsidRPr="007D167D">
        <w:rPr>
          <w:rFonts w:ascii="Arial" w:hAnsi="Arial" w:cs="Arial"/>
        </w:rPr>
        <w:t>VII.- Expedir certificados de estudios, títulos profesionales, grados académicos, diplomados, reconocimientos, distinciones especiales y otros que así se requieran, conforme a las disposiciones aplicadas.</w:t>
      </w:r>
    </w:p>
    <w:p w14:paraId="6D1CC0E7" w14:textId="77777777" w:rsidR="0094757B" w:rsidRPr="007D167D" w:rsidRDefault="0094757B" w:rsidP="0094757B">
      <w:pPr>
        <w:ind w:left="567"/>
        <w:jc w:val="both"/>
        <w:rPr>
          <w:rFonts w:ascii="Arial" w:hAnsi="Arial" w:cs="Arial"/>
        </w:rPr>
      </w:pPr>
      <w:r w:rsidRPr="007D167D">
        <w:rPr>
          <w:rFonts w:ascii="Arial" w:hAnsi="Arial" w:cs="Arial"/>
        </w:rPr>
        <w:lastRenderedPageBreak/>
        <w:t>VIII.- Establecer los procedimientos y requisitos de acreditación y certificación de estudios, de acuerdo con las disposiciones aplicadas.</w:t>
      </w:r>
    </w:p>
    <w:p w14:paraId="032150B6" w14:textId="77777777" w:rsidR="0094757B" w:rsidRPr="007D167D" w:rsidRDefault="0094757B" w:rsidP="0094757B">
      <w:pPr>
        <w:ind w:left="567"/>
        <w:jc w:val="both"/>
        <w:rPr>
          <w:rFonts w:ascii="Arial" w:hAnsi="Arial" w:cs="Arial"/>
        </w:rPr>
      </w:pPr>
      <w:r w:rsidRPr="007D167D">
        <w:rPr>
          <w:rFonts w:ascii="Arial" w:hAnsi="Arial" w:cs="Arial"/>
        </w:rPr>
        <w:t>IX.- Revalidar y otorgar equivalencias de estudios de conformidad con lo establecido por la Ley General de Educación y la Ley de Educación para los Estados de Sonora;</w:t>
      </w:r>
    </w:p>
    <w:p w14:paraId="30221416" w14:textId="77777777" w:rsidR="0094757B" w:rsidRPr="007D167D" w:rsidRDefault="0094757B" w:rsidP="0094757B">
      <w:pPr>
        <w:ind w:left="567"/>
        <w:jc w:val="both"/>
        <w:rPr>
          <w:rFonts w:ascii="Arial" w:hAnsi="Arial" w:cs="Arial"/>
        </w:rPr>
      </w:pPr>
      <w:r w:rsidRPr="007D167D">
        <w:rPr>
          <w:rFonts w:ascii="Arial" w:hAnsi="Arial" w:cs="Arial"/>
        </w:rPr>
        <w:t>X.- Reglamentar los procedimientos de selección e ingreso de los alumnos, así como para su permanencia en la Institución</w:t>
      </w:r>
    </w:p>
    <w:p w14:paraId="26694BCA" w14:textId="77777777" w:rsidR="0094757B" w:rsidRPr="007D167D" w:rsidRDefault="0094757B" w:rsidP="0094757B">
      <w:pPr>
        <w:ind w:left="567"/>
        <w:jc w:val="both"/>
        <w:rPr>
          <w:rFonts w:ascii="Arial" w:hAnsi="Arial" w:cs="Arial"/>
        </w:rPr>
      </w:pPr>
      <w:r w:rsidRPr="007D167D">
        <w:rPr>
          <w:rFonts w:ascii="Arial" w:hAnsi="Arial" w:cs="Arial"/>
        </w:rPr>
        <w:t>XI.-Reglamentar los procedimientos de ingreso, permanencia y promoción, en su caso de personal académico, atendiendo las recomendaciones que surjan en el seno de las instancias competentes;</w:t>
      </w:r>
    </w:p>
    <w:p w14:paraId="308D4CEA" w14:textId="77777777" w:rsidR="0094757B" w:rsidRPr="007D167D" w:rsidRDefault="0094757B" w:rsidP="0094757B">
      <w:pPr>
        <w:ind w:left="567"/>
        <w:jc w:val="both"/>
        <w:rPr>
          <w:rFonts w:ascii="Arial" w:hAnsi="Arial" w:cs="Arial"/>
        </w:rPr>
      </w:pPr>
      <w:r w:rsidRPr="007D167D">
        <w:rPr>
          <w:rFonts w:ascii="Arial" w:hAnsi="Arial" w:cs="Arial"/>
        </w:rPr>
        <w:t>XII.-Planear, desarrollar e impartir programas de superación y actualización académica y dirigirlos tanto a la comunidad tecnológica, como a la población en general;</w:t>
      </w:r>
    </w:p>
    <w:p w14:paraId="37CC8041" w14:textId="77777777" w:rsidR="0094757B" w:rsidRPr="007D167D" w:rsidRDefault="0094757B" w:rsidP="0094757B">
      <w:pPr>
        <w:ind w:left="567"/>
        <w:jc w:val="both"/>
        <w:rPr>
          <w:rFonts w:ascii="Arial" w:hAnsi="Arial" w:cs="Arial"/>
        </w:rPr>
      </w:pPr>
      <w:r w:rsidRPr="007D167D">
        <w:rPr>
          <w:rFonts w:ascii="Arial" w:hAnsi="Arial" w:cs="Arial"/>
        </w:rPr>
        <w:t>XIII.- Organizar actividades culturales y deportivas que permitan a la comunidad el acceso a las diversas manifestaciones culturales;</w:t>
      </w:r>
    </w:p>
    <w:p w14:paraId="3B610FE3" w14:textId="77777777" w:rsidR="0094757B" w:rsidRPr="007D167D" w:rsidRDefault="0094757B" w:rsidP="0094757B">
      <w:pPr>
        <w:ind w:left="567"/>
        <w:jc w:val="both"/>
        <w:rPr>
          <w:rFonts w:ascii="Arial" w:hAnsi="Arial" w:cs="Arial"/>
        </w:rPr>
      </w:pPr>
      <w:r w:rsidRPr="007D167D">
        <w:rPr>
          <w:rFonts w:ascii="Arial" w:hAnsi="Arial" w:cs="Arial"/>
        </w:rPr>
        <w:t>XIV.-Impulsar estrategias de participación y concertación con los sectores público. Privado y social para la realización de actividades productivas con un alto nivel de eficiencia y sentido social;</w:t>
      </w:r>
    </w:p>
    <w:p w14:paraId="15AB3BE1" w14:textId="77777777" w:rsidR="0094757B" w:rsidRPr="007D167D" w:rsidRDefault="0094757B" w:rsidP="0094757B">
      <w:pPr>
        <w:ind w:left="567"/>
        <w:jc w:val="both"/>
        <w:rPr>
          <w:rFonts w:ascii="Arial" w:hAnsi="Arial" w:cs="Arial"/>
        </w:rPr>
      </w:pPr>
      <w:r w:rsidRPr="007D167D">
        <w:rPr>
          <w:rFonts w:ascii="Arial" w:hAnsi="Arial" w:cs="Arial"/>
        </w:rPr>
        <w:t>XV.- Administrar libremente su patrimonio con sujeción al marco legal que le impone su carácter de Organismo Público Descentralizado;</w:t>
      </w:r>
    </w:p>
    <w:p w14:paraId="6524D3FE" w14:textId="77777777" w:rsidR="0094757B" w:rsidRPr="007D167D" w:rsidRDefault="0094757B" w:rsidP="0094757B">
      <w:pPr>
        <w:ind w:left="567"/>
        <w:jc w:val="both"/>
        <w:rPr>
          <w:rFonts w:ascii="Arial" w:hAnsi="Arial" w:cs="Arial"/>
        </w:rPr>
      </w:pPr>
      <w:r w:rsidRPr="007D167D">
        <w:rPr>
          <w:rFonts w:ascii="Arial" w:hAnsi="Arial" w:cs="Arial"/>
        </w:rPr>
        <w:t>XVI.-Expedir las disposiciones necesarias a fin de hacer efectivas las atribuciones que este Decreto le confiere para el cumplimiento de sus objetos;</w:t>
      </w:r>
    </w:p>
    <w:p w14:paraId="50E5AC63" w14:textId="77777777" w:rsidR="0094757B" w:rsidRPr="007D167D" w:rsidRDefault="0094757B" w:rsidP="0094757B">
      <w:pPr>
        <w:ind w:left="567"/>
        <w:jc w:val="both"/>
        <w:rPr>
          <w:rFonts w:ascii="Arial" w:hAnsi="Arial" w:cs="Arial"/>
        </w:rPr>
      </w:pPr>
      <w:r w:rsidRPr="007D167D">
        <w:rPr>
          <w:rFonts w:ascii="Arial" w:hAnsi="Arial" w:cs="Arial"/>
        </w:rPr>
        <w:t>XVII.- Prestar servicios de asesorías, elaboración de proyectos de desarrollo de prototipos, paquetes tecnológicos y capacitación técnica a los sectores públicos, social y privado que lo soliciten; y</w:t>
      </w:r>
    </w:p>
    <w:p w14:paraId="16132823" w14:textId="4A3A601B" w:rsidR="0094757B" w:rsidRPr="007D167D" w:rsidRDefault="0094757B" w:rsidP="0094757B">
      <w:pPr>
        <w:ind w:left="567"/>
        <w:jc w:val="both"/>
        <w:rPr>
          <w:rFonts w:ascii="Arial" w:hAnsi="Arial" w:cs="Arial"/>
        </w:rPr>
      </w:pPr>
      <w:r w:rsidRPr="007D167D">
        <w:rPr>
          <w:rFonts w:ascii="Arial" w:hAnsi="Arial" w:cs="Arial"/>
        </w:rPr>
        <w:t>XVIII.-Realizar todas clase de actos jurídicos necesarios para el logro de su objeto y el cumplimiento de sus atribuciones.</w:t>
      </w:r>
    </w:p>
    <w:p w14:paraId="77F775D7" w14:textId="77777777" w:rsidR="0094757B" w:rsidRPr="007D167D" w:rsidRDefault="0094757B" w:rsidP="0094757B">
      <w:pPr>
        <w:ind w:left="567"/>
        <w:jc w:val="both"/>
        <w:rPr>
          <w:rFonts w:ascii="Arial" w:hAnsi="Arial" w:cs="Arial"/>
        </w:rPr>
      </w:pPr>
    </w:p>
    <w:p w14:paraId="6B70C2F9" w14:textId="77777777" w:rsidR="0094757B" w:rsidRPr="007D167D" w:rsidRDefault="0094757B" w:rsidP="0094757B">
      <w:pPr>
        <w:jc w:val="both"/>
        <w:rPr>
          <w:rFonts w:ascii="Arial" w:hAnsi="Arial" w:cs="Arial"/>
          <w:b/>
        </w:rPr>
      </w:pPr>
      <w:r w:rsidRPr="007D167D">
        <w:rPr>
          <w:rFonts w:ascii="Arial" w:hAnsi="Arial" w:cs="Arial"/>
          <w:b/>
        </w:rPr>
        <w:t>c) Ejercicio Fiscal.</w:t>
      </w:r>
    </w:p>
    <w:p w14:paraId="5FF4ACB0" w14:textId="1E923665" w:rsidR="0094757B" w:rsidRPr="007D167D" w:rsidRDefault="0094757B" w:rsidP="0094757B">
      <w:pPr>
        <w:jc w:val="both"/>
        <w:rPr>
          <w:rFonts w:ascii="Arial" w:hAnsi="Arial" w:cs="Arial"/>
        </w:rPr>
      </w:pPr>
      <w:r w:rsidRPr="007D167D">
        <w:rPr>
          <w:rFonts w:ascii="Arial" w:hAnsi="Arial" w:cs="Arial"/>
        </w:rPr>
        <w:t xml:space="preserve">Las cifras contenidas en los Estados Financieros y que se mencionan en estas notas se presentan al </w:t>
      </w:r>
      <w:r>
        <w:rPr>
          <w:rFonts w:ascii="Arial" w:hAnsi="Arial" w:cs="Arial"/>
        </w:rPr>
        <w:t xml:space="preserve">día </w:t>
      </w:r>
      <w:r w:rsidRPr="007D167D">
        <w:rPr>
          <w:rFonts w:ascii="Arial" w:hAnsi="Arial" w:cs="Arial"/>
        </w:rPr>
        <w:t>3</w:t>
      </w:r>
      <w:r w:rsidR="00513015">
        <w:rPr>
          <w:rFonts w:ascii="Arial" w:hAnsi="Arial" w:cs="Arial"/>
        </w:rPr>
        <w:t>1</w:t>
      </w:r>
      <w:r w:rsidRPr="007D167D">
        <w:rPr>
          <w:rFonts w:ascii="Arial" w:hAnsi="Arial" w:cs="Arial"/>
        </w:rPr>
        <w:t xml:space="preserve"> del mes de </w:t>
      </w:r>
      <w:r w:rsidR="00F216AA">
        <w:rPr>
          <w:rFonts w:ascii="Arial" w:hAnsi="Arial" w:cs="Arial"/>
        </w:rPr>
        <w:t>dic</w:t>
      </w:r>
      <w:r>
        <w:rPr>
          <w:rFonts w:ascii="Arial" w:hAnsi="Arial" w:cs="Arial"/>
        </w:rPr>
        <w:t>iembre</w:t>
      </w:r>
      <w:r w:rsidRPr="007D167D">
        <w:rPr>
          <w:rFonts w:ascii="Arial" w:hAnsi="Arial" w:cs="Arial"/>
        </w:rPr>
        <w:t xml:space="preserve"> del 2024.</w:t>
      </w:r>
    </w:p>
    <w:p w14:paraId="4891BADF" w14:textId="77777777" w:rsidR="0094757B" w:rsidRPr="007D167D" w:rsidRDefault="0094757B" w:rsidP="0094757B">
      <w:pPr>
        <w:jc w:val="both"/>
        <w:rPr>
          <w:rFonts w:ascii="Arial" w:hAnsi="Arial" w:cs="Arial"/>
        </w:rPr>
      </w:pPr>
    </w:p>
    <w:p w14:paraId="19BADC2C" w14:textId="77777777" w:rsidR="0094757B" w:rsidRPr="007D167D" w:rsidRDefault="0094757B" w:rsidP="0094757B">
      <w:pPr>
        <w:jc w:val="both"/>
        <w:rPr>
          <w:rFonts w:ascii="Arial" w:hAnsi="Arial" w:cs="Arial"/>
          <w:b/>
        </w:rPr>
      </w:pPr>
      <w:r w:rsidRPr="007D167D">
        <w:rPr>
          <w:rFonts w:ascii="Arial" w:hAnsi="Arial" w:cs="Arial"/>
          <w:b/>
        </w:rPr>
        <w:t>d) Régimen Jurídico</w:t>
      </w:r>
    </w:p>
    <w:p w14:paraId="309D51B0" w14:textId="77777777" w:rsidR="0094757B" w:rsidRPr="007D167D" w:rsidRDefault="0094757B" w:rsidP="0094757B">
      <w:pPr>
        <w:jc w:val="both"/>
        <w:rPr>
          <w:rFonts w:ascii="Arial" w:hAnsi="Arial" w:cs="Arial"/>
        </w:rPr>
      </w:pPr>
      <w:r w:rsidRPr="007D167D">
        <w:rPr>
          <w:rFonts w:ascii="Arial" w:hAnsi="Arial" w:cs="Arial"/>
        </w:rPr>
        <w:t xml:space="preserve">•Constitución Política de los Estados Unidos Mexicanos. </w:t>
      </w:r>
    </w:p>
    <w:p w14:paraId="1E538E47" w14:textId="77777777" w:rsidR="0094757B" w:rsidRPr="007D167D" w:rsidRDefault="0094757B" w:rsidP="0094757B">
      <w:pPr>
        <w:jc w:val="both"/>
        <w:rPr>
          <w:rFonts w:ascii="Arial" w:hAnsi="Arial" w:cs="Arial"/>
        </w:rPr>
      </w:pPr>
      <w:r w:rsidRPr="007D167D">
        <w:rPr>
          <w:rFonts w:ascii="Arial" w:hAnsi="Arial" w:cs="Arial"/>
        </w:rPr>
        <w:t xml:space="preserve">•Ley General de Contabilidad Gubernamental. </w:t>
      </w:r>
    </w:p>
    <w:p w14:paraId="0685FC42" w14:textId="77777777" w:rsidR="0094757B" w:rsidRPr="007D167D" w:rsidRDefault="0094757B" w:rsidP="0094757B">
      <w:pPr>
        <w:jc w:val="both"/>
        <w:rPr>
          <w:rFonts w:ascii="Arial" w:hAnsi="Arial" w:cs="Arial"/>
        </w:rPr>
      </w:pPr>
      <w:r w:rsidRPr="007D167D">
        <w:rPr>
          <w:rFonts w:ascii="Arial" w:hAnsi="Arial" w:cs="Arial"/>
        </w:rPr>
        <w:t xml:space="preserve">•Constitución Política del Estado Libre y Soberano de Sonora. </w:t>
      </w:r>
    </w:p>
    <w:p w14:paraId="5D2B27DF" w14:textId="77777777" w:rsidR="0094757B" w:rsidRPr="007D167D" w:rsidRDefault="0094757B" w:rsidP="0094757B">
      <w:pPr>
        <w:jc w:val="both"/>
        <w:rPr>
          <w:rFonts w:ascii="Arial" w:hAnsi="Arial" w:cs="Arial"/>
        </w:rPr>
      </w:pPr>
      <w:r w:rsidRPr="007D167D">
        <w:rPr>
          <w:rFonts w:ascii="Arial" w:hAnsi="Arial" w:cs="Arial"/>
        </w:rPr>
        <w:lastRenderedPageBreak/>
        <w:t xml:space="preserve">•Ley Orgánica del Poder Ejecutivo del Estado de Sonora. </w:t>
      </w:r>
    </w:p>
    <w:p w14:paraId="5BA5832E" w14:textId="77777777" w:rsidR="0094757B" w:rsidRPr="007D167D" w:rsidRDefault="0094757B" w:rsidP="0094757B">
      <w:pPr>
        <w:jc w:val="both"/>
        <w:rPr>
          <w:rFonts w:ascii="Arial" w:hAnsi="Arial" w:cs="Arial"/>
        </w:rPr>
      </w:pPr>
      <w:r w:rsidRPr="007D167D">
        <w:rPr>
          <w:rFonts w:ascii="Arial" w:hAnsi="Arial" w:cs="Arial"/>
        </w:rPr>
        <w:t xml:space="preserve">•Ley No. 40 de Planeación del Estado de Sonora. </w:t>
      </w:r>
    </w:p>
    <w:p w14:paraId="77A66E7F" w14:textId="77777777" w:rsidR="0094757B" w:rsidRPr="007D167D" w:rsidRDefault="0094757B" w:rsidP="0094757B">
      <w:pPr>
        <w:jc w:val="both"/>
        <w:rPr>
          <w:rFonts w:ascii="Arial" w:hAnsi="Arial" w:cs="Arial"/>
        </w:rPr>
      </w:pPr>
      <w:r w:rsidRPr="007D167D">
        <w:rPr>
          <w:rFonts w:ascii="Arial" w:hAnsi="Arial" w:cs="Arial"/>
        </w:rPr>
        <w:t xml:space="preserve">•Ley No. 54 de Responsabilidades de los Servidores Públicos del Estado y de los Municipios. </w:t>
      </w:r>
    </w:p>
    <w:p w14:paraId="46EA08D4" w14:textId="77777777" w:rsidR="0094757B" w:rsidRPr="007D167D" w:rsidRDefault="0094757B" w:rsidP="0094757B">
      <w:pPr>
        <w:jc w:val="both"/>
        <w:rPr>
          <w:rFonts w:ascii="Arial" w:hAnsi="Arial" w:cs="Arial"/>
        </w:rPr>
      </w:pPr>
      <w:r w:rsidRPr="007D167D">
        <w:rPr>
          <w:rFonts w:ascii="Arial" w:hAnsi="Arial" w:cs="Arial"/>
        </w:rPr>
        <w:t xml:space="preserve">•Ley No. 113 del Presupuesto de Egresos, Contabilidad Gubernamental y Gasto Público Estatal. </w:t>
      </w:r>
    </w:p>
    <w:p w14:paraId="1B618F40" w14:textId="77777777" w:rsidR="0094757B" w:rsidRPr="007D167D" w:rsidRDefault="0094757B" w:rsidP="0094757B">
      <w:pPr>
        <w:jc w:val="both"/>
        <w:rPr>
          <w:rFonts w:ascii="Arial" w:hAnsi="Arial" w:cs="Arial"/>
        </w:rPr>
      </w:pPr>
      <w:r w:rsidRPr="007D167D">
        <w:rPr>
          <w:rFonts w:ascii="Arial" w:hAnsi="Arial" w:cs="Arial"/>
        </w:rPr>
        <w:t xml:space="preserve">•Ley No. 6 de Adquisiciones, Arrendamientos y Prestación de Servicios Relacionados con Bienes Muebles de la Administración Pública Estatal. </w:t>
      </w:r>
    </w:p>
    <w:p w14:paraId="08C142C0" w14:textId="77777777" w:rsidR="0094757B" w:rsidRPr="007D167D" w:rsidRDefault="0094757B" w:rsidP="0094757B">
      <w:pPr>
        <w:jc w:val="both"/>
        <w:rPr>
          <w:rFonts w:ascii="Arial" w:hAnsi="Arial" w:cs="Arial"/>
        </w:rPr>
      </w:pPr>
      <w:r w:rsidRPr="007D167D">
        <w:rPr>
          <w:rFonts w:ascii="Arial" w:hAnsi="Arial" w:cs="Arial"/>
        </w:rPr>
        <w:t xml:space="preserve">•Ley No. 78 de Educación del Estado de Sonora. </w:t>
      </w:r>
    </w:p>
    <w:p w14:paraId="792A7193" w14:textId="77777777" w:rsidR="0094757B" w:rsidRPr="007D167D" w:rsidRDefault="0094757B" w:rsidP="0094757B">
      <w:pPr>
        <w:jc w:val="both"/>
        <w:rPr>
          <w:rFonts w:ascii="Arial" w:hAnsi="Arial" w:cs="Arial"/>
        </w:rPr>
      </w:pPr>
      <w:r w:rsidRPr="007D167D">
        <w:rPr>
          <w:rFonts w:ascii="Arial" w:hAnsi="Arial" w:cs="Arial"/>
        </w:rPr>
        <w:t xml:space="preserve">•Ley No. 156, de Acceso a la Información Pública del Estado de Sonora. </w:t>
      </w:r>
    </w:p>
    <w:p w14:paraId="6C540C96" w14:textId="77777777" w:rsidR="0094757B" w:rsidRPr="001A1192" w:rsidRDefault="0094757B" w:rsidP="0094757B">
      <w:pPr>
        <w:jc w:val="both"/>
        <w:rPr>
          <w:rFonts w:ascii="Arial" w:hAnsi="Arial" w:cs="Arial"/>
        </w:rPr>
      </w:pPr>
      <w:r w:rsidRPr="007D167D">
        <w:rPr>
          <w:rFonts w:ascii="Arial" w:hAnsi="Arial" w:cs="Arial"/>
        </w:rPr>
        <w:t xml:space="preserve">•Reglamento de la Ley del Presupuesto de Egresos, Contabilidad Gubernamental y Gasto Público Estatal. </w:t>
      </w:r>
    </w:p>
    <w:p w14:paraId="6F73BDD1" w14:textId="77777777" w:rsidR="0094757B" w:rsidRPr="007D167D" w:rsidRDefault="0094757B" w:rsidP="0094757B">
      <w:pPr>
        <w:jc w:val="both"/>
        <w:rPr>
          <w:rFonts w:ascii="Arial" w:hAnsi="Arial" w:cs="Arial"/>
          <w:b/>
        </w:rPr>
      </w:pPr>
    </w:p>
    <w:p w14:paraId="4645E759" w14:textId="77777777" w:rsidR="0094757B" w:rsidRPr="007D167D" w:rsidRDefault="0094757B" w:rsidP="0094757B">
      <w:pPr>
        <w:jc w:val="both"/>
        <w:rPr>
          <w:rFonts w:ascii="Arial" w:hAnsi="Arial" w:cs="Arial"/>
        </w:rPr>
      </w:pPr>
      <w:r w:rsidRPr="007D167D">
        <w:rPr>
          <w:rFonts w:ascii="Arial" w:hAnsi="Arial" w:cs="Arial"/>
          <w:b/>
        </w:rPr>
        <w:t>e) Consideraciones fiscales del ente; revelar el tipo de contribuciones que esté obligado a pagar o retener</w:t>
      </w:r>
      <w:r w:rsidRPr="007D167D">
        <w:rPr>
          <w:rFonts w:ascii="Arial" w:hAnsi="Arial" w:cs="Arial"/>
        </w:rPr>
        <w:t xml:space="preserve">. </w:t>
      </w:r>
    </w:p>
    <w:p w14:paraId="02C914E2" w14:textId="77777777" w:rsidR="0094757B" w:rsidRPr="007D167D" w:rsidRDefault="0094757B" w:rsidP="0094757B">
      <w:pPr>
        <w:jc w:val="both"/>
        <w:rPr>
          <w:rFonts w:ascii="Arial" w:hAnsi="Arial" w:cs="Arial"/>
        </w:rPr>
      </w:pPr>
      <w:r w:rsidRPr="007D167D">
        <w:rPr>
          <w:rFonts w:ascii="Arial" w:hAnsi="Arial" w:cs="Arial"/>
        </w:rPr>
        <w:t xml:space="preserve">El Instituto Tecnológico Superior de Puerto Peñasco de conformidad con las leyes respectivas, no es contribuyente del Impuesto Sobre la Renta, ni del Impuesto Empresarial Tasa única, teniendo como obligación retener y enterar el Impuesto Sobre la Renta retenido a los trabajadores, profesionistas y arrendadores personas físicas así como de exigir la documentación que reúna los requisitos fiscales cuando se efectúen pagos a terceros y se esté obligado a ello en los términos de la Ley del Impuesto Sobre la Renta. </w:t>
      </w:r>
    </w:p>
    <w:p w14:paraId="7732C384" w14:textId="77777777" w:rsidR="0094757B" w:rsidRPr="007D167D" w:rsidRDefault="0094757B" w:rsidP="0094757B">
      <w:pPr>
        <w:jc w:val="both"/>
        <w:rPr>
          <w:rFonts w:ascii="Arial" w:hAnsi="Arial" w:cs="Arial"/>
        </w:rPr>
      </w:pPr>
      <w:r w:rsidRPr="007D167D">
        <w:rPr>
          <w:rFonts w:ascii="Arial" w:hAnsi="Arial" w:cs="Arial"/>
        </w:rPr>
        <w:t xml:space="preserve">Así mismo, El Organismo no es contribuyente del Impuesto al Valor Agregado que le es trasladado en la adquisición de bienes y servicios, el cual incluye como parte del costo de adquisición de dichos bienes o como parte de la erogación realizada. </w:t>
      </w:r>
    </w:p>
    <w:p w14:paraId="71839F9B" w14:textId="77777777" w:rsidR="0094757B" w:rsidRPr="007D167D" w:rsidRDefault="0094757B" w:rsidP="0094757B">
      <w:pPr>
        <w:jc w:val="both"/>
        <w:rPr>
          <w:rFonts w:ascii="Arial" w:hAnsi="Arial" w:cs="Arial"/>
        </w:rPr>
      </w:pPr>
      <w:r w:rsidRPr="007D167D">
        <w:rPr>
          <w:rFonts w:ascii="Arial" w:hAnsi="Arial" w:cs="Arial"/>
        </w:rPr>
        <w:t xml:space="preserve">Es un organismo descentralizado de la Administración Pública Estatal; el cual inicia operaciones en el año de 2000. </w:t>
      </w:r>
    </w:p>
    <w:p w14:paraId="618EE96E" w14:textId="77777777" w:rsidR="0094757B" w:rsidRPr="007D167D" w:rsidRDefault="0094757B" w:rsidP="0094757B">
      <w:pPr>
        <w:rPr>
          <w:rFonts w:ascii="Arial" w:hAnsi="Arial" w:cs="Arial"/>
          <w:b/>
        </w:rPr>
      </w:pPr>
    </w:p>
    <w:p w14:paraId="429DFEFF" w14:textId="77777777" w:rsidR="0094757B" w:rsidRDefault="0094757B" w:rsidP="0094757B">
      <w:pPr>
        <w:rPr>
          <w:rFonts w:ascii="Arial" w:hAnsi="Arial" w:cs="Arial"/>
          <w:b/>
        </w:rPr>
      </w:pPr>
      <w:r w:rsidRPr="007D167D">
        <w:rPr>
          <w:rFonts w:ascii="Arial" w:hAnsi="Arial" w:cs="Arial"/>
          <w:b/>
        </w:rPr>
        <w:t>f) Estructura Organizacional Básica.</w:t>
      </w:r>
    </w:p>
    <w:p w14:paraId="424C54E7" w14:textId="77777777" w:rsidR="0094757B" w:rsidRPr="007D167D" w:rsidRDefault="0094757B" w:rsidP="00F216AA">
      <w:pPr>
        <w:jc w:val="both"/>
        <w:rPr>
          <w:rFonts w:ascii="Arial" w:hAnsi="Arial" w:cs="Arial"/>
          <w:b/>
        </w:rPr>
      </w:pPr>
      <w:r w:rsidRPr="007D167D">
        <w:rPr>
          <w:rFonts w:ascii="Arial" w:eastAsia="Times New Roman" w:hAnsi="Arial" w:cs="Arial"/>
          <w:color w:val="000000"/>
          <w:lang w:eastAsia="es-MX"/>
        </w:rPr>
        <w:t>Manual de Organización contempla la estructura Orgánica que opera el Instituto Tecnológico Superior de Puerto Peñasco; su contenido contempla las funciones principales de las distintas áreas que conforman la estructura orgánica y tiene por objeto establecer la Organización y las Disposiciones que rigen el funcionamiento del mismo. A la fecha de este informe ya ha sido aprobado por el Consejo Directivo el Reglamento Interior y se encuentran en la siguiente etapa de actualización los demás documentos normativos, que contempla la revisión y actualización de los manuales de organización, procedimientos y puestos</w:t>
      </w:r>
      <w:r>
        <w:rPr>
          <w:rFonts w:ascii="Arial" w:eastAsia="Times New Roman" w:hAnsi="Arial" w:cs="Arial"/>
          <w:color w:val="000000"/>
          <w:lang w:eastAsia="es-MX"/>
        </w:rPr>
        <w:t>.</w:t>
      </w:r>
    </w:p>
    <w:p w14:paraId="0561FAB6" w14:textId="77777777" w:rsidR="0094757B" w:rsidRPr="007D167D" w:rsidRDefault="0094757B" w:rsidP="0094757B">
      <w:pPr>
        <w:tabs>
          <w:tab w:val="left" w:pos="7215"/>
        </w:tabs>
        <w:jc w:val="both"/>
        <w:rPr>
          <w:rFonts w:ascii="Arial" w:eastAsia="Times New Roman" w:hAnsi="Arial" w:cs="Arial"/>
          <w:color w:val="000000"/>
          <w:lang w:eastAsia="es-MX"/>
        </w:rPr>
      </w:pPr>
      <w:r w:rsidRPr="007D167D">
        <w:rPr>
          <w:rFonts w:ascii="Arial" w:eastAsia="Times New Roman" w:hAnsi="Arial" w:cs="Arial"/>
          <w:noProof/>
          <w:color w:val="000000"/>
          <w:lang w:eastAsia="es-MX"/>
        </w:rPr>
        <w:lastRenderedPageBreak/>
        <w:drawing>
          <wp:anchor distT="0" distB="0" distL="114300" distR="114300" simplePos="0" relativeHeight="251659264" behindDoc="1" locked="0" layoutInCell="1" allowOverlap="1" wp14:anchorId="4F699A51" wp14:editId="2151FBA1">
            <wp:simplePos x="0" y="0"/>
            <wp:positionH relativeFrom="margin">
              <wp:align>left</wp:align>
            </wp:positionH>
            <wp:positionV relativeFrom="paragraph">
              <wp:posOffset>12484</wp:posOffset>
            </wp:positionV>
            <wp:extent cx="5992495" cy="2916555"/>
            <wp:effectExtent l="0" t="0" r="8255" b="0"/>
            <wp:wrapTight wrapText="bothSides">
              <wp:wrapPolygon edited="0">
                <wp:start x="5974" y="282"/>
                <wp:lineTo x="5974" y="1270"/>
                <wp:lineTo x="7691" y="2822"/>
                <wp:lineTo x="8446" y="2822"/>
                <wp:lineTo x="8446" y="4515"/>
                <wp:lineTo x="8927" y="5079"/>
                <wp:lineTo x="10231" y="5079"/>
                <wp:lineTo x="4120" y="5643"/>
                <wp:lineTo x="1717" y="6349"/>
                <wp:lineTo x="1717" y="10017"/>
                <wp:lineTo x="3433" y="11851"/>
                <wp:lineTo x="3777" y="11851"/>
                <wp:lineTo x="3777" y="14108"/>
                <wp:lineTo x="893" y="16084"/>
                <wp:lineTo x="0" y="17494"/>
                <wp:lineTo x="0" y="21445"/>
                <wp:lineTo x="21561" y="21445"/>
                <wp:lineTo x="21561" y="17636"/>
                <wp:lineTo x="20874" y="16225"/>
                <wp:lineTo x="17441" y="14108"/>
                <wp:lineTo x="17647" y="11851"/>
                <wp:lineTo x="19158" y="9876"/>
                <wp:lineTo x="19226" y="6208"/>
                <wp:lineTo x="17029" y="5643"/>
                <wp:lineTo x="10643" y="5079"/>
                <wp:lineTo x="11742" y="5079"/>
                <wp:lineTo x="12291" y="4233"/>
                <wp:lineTo x="12429" y="2822"/>
                <wp:lineTo x="13871" y="847"/>
                <wp:lineTo x="13871" y="282"/>
                <wp:lineTo x="5974" y="28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2495" cy="2916555"/>
                    </a:xfrm>
                    <a:prstGeom prst="rect">
                      <a:avLst/>
                    </a:prstGeom>
                    <a:noFill/>
                  </pic:spPr>
                </pic:pic>
              </a:graphicData>
            </a:graphic>
            <wp14:sizeRelH relativeFrom="margin">
              <wp14:pctWidth>0</wp14:pctWidth>
            </wp14:sizeRelH>
            <wp14:sizeRelV relativeFrom="margin">
              <wp14:pctHeight>0</wp14:pctHeight>
            </wp14:sizeRelV>
          </wp:anchor>
        </w:drawing>
      </w:r>
      <w:r w:rsidRPr="007D167D">
        <w:rPr>
          <w:rFonts w:ascii="Arial" w:eastAsia="Times New Roman" w:hAnsi="Arial" w:cs="Arial"/>
          <w:color w:val="000000"/>
          <w:lang w:eastAsia="es-MX"/>
        </w:rPr>
        <w:t>.</w:t>
      </w:r>
    </w:p>
    <w:p w14:paraId="1ADBD4F6" w14:textId="77777777" w:rsidR="0094757B" w:rsidRPr="007D167D" w:rsidRDefault="0094757B" w:rsidP="0094757B">
      <w:pPr>
        <w:tabs>
          <w:tab w:val="left" w:pos="7215"/>
        </w:tabs>
        <w:jc w:val="both"/>
        <w:rPr>
          <w:rFonts w:ascii="Arial" w:hAnsi="Arial" w:cs="Arial"/>
        </w:rPr>
      </w:pPr>
    </w:p>
    <w:p w14:paraId="7E85A7B9" w14:textId="77777777" w:rsidR="0094757B" w:rsidRDefault="0094757B" w:rsidP="0094757B">
      <w:pPr>
        <w:tabs>
          <w:tab w:val="left" w:pos="7215"/>
        </w:tabs>
        <w:jc w:val="both"/>
        <w:rPr>
          <w:rFonts w:ascii="Arial" w:hAnsi="Arial" w:cs="Arial"/>
        </w:rPr>
      </w:pPr>
    </w:p>
    <w:p w14:paraId="6880538C" w14:textId="77777777" w:rsidR="0094757B" w:rsidRDefault="0094757B" w:rsidP="0094757B">
      <w:pPr>
        <w:tabs>
          <w:tab w:val="left" w:pos="7215"/>
        </w:tabs>
        <w:jc w:val="both"/>
        <w:rPr>
          <w:rFonts w:ascii="Arial" w:hAnsi="Arial" w:cs="Arial"/>
        </w:rPr>
      </w:pPr>
    </w:p>
    <w:p w14:paraId="1E121F11" w14:textId="77777777" w:rsidR="0094757B" w:rsidRDefault="0094757B" w:rsidP="0094757B">
      <w:pPr>
        <w:tabs>
          <w:tab w:val="left" w:pos="7215"/>
        </w:tabs>
        <w:jc w:val="both"/>
        <w:rPr>
          <w:rFonts w:ascii="Arial" w:hAnsi="Arial" w:cs="Arial"/>
        </w:rPr>
      </w:pPr>
    </w:p>
    <w:p w14:paraId="383E96A8" w14:textId="77777777" w:rsidR="0094757B" w:rsidRDefault="0094757B" w:rsidP="0094757B">
      <w:pPr>
        <w:tabs>
          <w:tab w:val="left" w:pos="7215"/>
        </w:tabs>
        <w:jc w:val="both"/>
        <w:rPr>
          <w:rFonts w:ascii="Arial" w:hAnsi="Arial" w:cs="Arial"/>
        </w:rPr>
      </w:pPr>
    </w:p>
    <w:p w14:paraId="54268FCF" w14:textId="77777777" w:rsidR="0094757B" w:rsidRDefault="0094757B" w:rsidP="0094757B">
      <w:pPr>
        <w:tabs>
          <w:tab w:val="left" w:pos="7215"/>
        </w:tabs>
        <w:jc w:val="both"/>
        <w:rPr>
          <w:rFonts w:ascii="Arial" w:hAnsi="Arial" w:cs="Arial"/>
        </w:rPr>
      </w:pPr>
    </w:p>
    <w:p w14:paraId="6667DDCD" w14:textId="77777777" w:rsidR="0094757B" w:rsidRDefault="0094757B" w:rsidP="0094757B">
      <w:pPr>
        <w:tabs>
          <w:tab w:val="left" w:pos="7215"/>
        </w:tabs>
        <w:jc w:val="both"/>
        <w:rPr>
          <w:rFonts w:ascii="Arial" w:hAnsi="Arial" w:cs="Arial"/>
        </w:rPr>
      </w:pPr>
    </w:p>
    <w:p w14:paraId="39B4E700" w14:textId="77777777" w:rsidR="0094757B" w:rsidRDefault="0094757B" w:rsidP="0094757B">
      <w:pPr>
        <w:tabs>
          <w:tab w:val="left" w:pos="7215"/>
        </w:tabs>
        <w:jc w:val="both"/>
        <w:rPr>
          <w:rFonts w:ascii="Arial" w:hAnsi="Arial" w:cs="Arial"/>
          <w:b/>
        </w:rPr>
      </w:pPr>
    </w:p>
    <w:p w14:paraId="6C0EC98F" w14:textId="77777777" w:rsidR="0094757B" w:rsidRPr="007D167D" w:rsidRDefault="0094757B" w:rsidP="0094757B">
      <w:pPr>
        <w:tabs>
          <w:tab w:val="left" w:pos="7215"/>
        </w:tabs>
        <w:jc w:val="both"/>
        <w:rPr>
          <w:rFonts w:ascii="Arial" w:hAnsi="Arial" w:cs="Arial"/>
          <w:b/>
        </w:rPr>
      </w:pPr>
      <w:r w:rsidRPr="007D167D">
        <w:rPr>
          <w:rFonts w:ascii="Arial" w:hAnsi="Arial" w:cs="Arial"/>
          <w:b/>
        </w:rPr>
        <w:t xml:space="preserve">g) Fideicomisos, mandatos y análogos de los cuales es fideicomitente o fiduciario. </w:t>
      </w:r>
    </w:p>
    <w:p w14:paraId="0E5755A2" w14:textId="77777777" w:rsidR="0094757B" w:rsidRDefault="0094757B" w:rsidP="0094757B">
      <w:pPr>
        <w:tabs>
          <w:tab w:val="left" w:pos="7215"/>
        </w:tabs>
        <w:jc w:val="both"/>
        <w:rPr>
          <w:rFonts w:ascii="Arial" w:hAnsi="Arial" w:cs="Arial"/>
        </w:rPr>
      </w:pPr>
      <w:r w:rsidRPr="007D167D">
        <w:rPr>
          <w:rFonts w:ascii="Arial" w:hAnsi="Arial" w:cs="Arial"/>
        </w:rPr>
        <w:t>El Instituto Tecnológico Superior de Puerto Peñasco no se encuentra en supuestos de este apartado.</w:t>
      </w:r>
    </w:p>
    <w:p w14:paraId="48E16EC8" w14:textId="77777777" w:rsidR="0094757B" w:rsidRPr="007D167D" w:rsidRDefault="0094757B" w:rsidP="0094757B">
      <w:pPr>
        <w:tabs>
          <w:tab w:val="left" w:pos="7215"/>
        </w:tabs>
        <w:jc w:val="both"/>
        <w:rPr>
          <w:rFonts w:ascii="Arial" w:hAnsi="Arial" w:cs="Arial"/>
        </w:rPr>
      </w:pPr>
    </w:p>
    <w:p w14:paraId="1D3EA872" w14:textId="77777777" w:rsidR="0094757B" w:rsidRPr="007D167D" w:rsidRDefault="0094757B" w:rsidP="0094757B">
      <w:pPr>
        <w:tabs>
          <w:tab w:val="left" w:pos="7215"/>
        </w:tabs>
        <w:jc w:val="both"/>
        <w:rPr>
          <w:rFonts w:ascii="Arial" w:hAnsi="Arial" w:cs="Arial"/>
          <w:b/>
        </w:rPr>
      </w:pPr>
      <w:r w:rsidRPr="007D167D">
        <w:rPr>
          <w:rFonts w:ascii="Arial" w:hAnsi="Arial" w:cs="Arial"/>
          <w:b/>
        </w:rPr>
        <w:t xml:space="preserve">5.-Bases para la preparación de Estados Financieros. </w:t>
      </w:r>
    </w:p>
    <w:p w14:paraId="07D0ED5E" w14:textId="77777777" w:rsidR="0094757B" w:rsidRPr="007D167D" w:rsidRDefault="0094757B" w:rsidP="0094757B">
      <w:pPr>
        <w:tabs>
          <w:tab w:val="left" w:pos="7215"/>
        </w:tabs>
        <w:jc w:val="both"/>
        <w:rPr>
          <w:rFonts w:ascii="Arial" w:hAnsi="Arial" w:cs="Arial"/>
        </w:rPr>
      </w:pPr>
      <w:r w:rsidRPr="007D167D">
        <w:rPr>
          <w:rFonts w:ascii="Arial" w:hAnsi="Arial" w:cs="Arial"/>
        </w:rPr>
        <w:t>Se informa sobre:</w:t>
      </w:r>
    </w:p>
    <w:p w14:paraId="752EDB5A" w14:textId="77777777" w:rsidR="0094757B" w:rsidRPr="007D167D" w:rsidRDefault="0094757B" w:rsidP="0094757B">
      <w:pPr>
        <w:pStyle w:val="Prrafodelista"/>
        <w:numPr>
          <w:ilvl w:val="0"/>
          <w:numId w:val="6"/>
        </w:numPr>
        <w:tabs>
          <w:tab w:val="left" w:pos="7215"/>
        </w:tabs>
        <w:jc w:val="both"/>
        <w:rPr>
          <w:rFonts w:ascii="Arial" w:hAnsi="Arial" w:cs="Arial"/>
        </w:rPr>
      </w:pPr>
      <w:r w:rsidRPr="007D167D">
        <w:rPr>
          <w:rFonts w:ascii="Arial" w:hAnsi="Arial" w:cs="Arial"/>
        </w:rPr>
        <w:t>En cumplimiento a las disposiciones emitidas de acuerdo a la LGCG, Instituto Tecnológico Superior de Puerto Peñasco ha venido implementando una serie de medidas tendientes a cumplir con dichas disposiciones, para lo cual se ha venido apoyando con diversas herramientas atreves del uso de las tecnologías de la información, en la cual se han estado desarrollando, cuidando que en el mismo desarrollo e implementación se apeguen a la diversa normatividad emitida por el Consejo de Armonización Contable, algunas disposiciones se encuentran aún en su implementación derivado de las mismas disposiciones emanadas por el CONAC; de igual forma aplicando, cuando así se requiere diversas disposiciones estatales.</w:t>
      </w:r>
    </w:p>
    <w:p w14:paraId="21A21258" w14:textId="77777777" w:rsidR="0094757B" w:rsidRPr="007D167D" w:rsidRDefault="0094757B" w:rsidP="0094757B">
      <w:pPr>
        <w:pStyle w:val="Prrafodelista"/>
        <w:tabs>
          <w:tab w:val="left" w:pos="7215"/>
        </w:tabs>
        <w:jc w:val="both"/>
        <w:rPr>
          <w:rFonts w:ascii="Arial" w:hAnsi="Arial" w:cs="Arial"/>
        </w:rPr>
      </w:pPr>
    </w:p>
    <w:p w14:paraId="61A67D2D" w14:textId="77777777" w:rsidR="0094757B" w:rsidRPr="007D167D" w:rsidRDefault="0094757B" w:rsidP="0094757B">
      <w:pPr>
        <w:pStyle w:val="Prrafodelista"/>
        <w:tabs>
          <w:tab w:val="left" w:pos="7215"/>
        </w:tabs>
        <w:ind w:left="567"/>
        <w:jc w:val="both"/>
        <w:rPr>
          <w:rFonts w:ascii="Arial" w:hAnsi="Arial" w:cs="Arial"/>
        </w:rPr>
      </w:pPr>
      <w:r w:rsidRPr="007D167D">
        <w:rPr>
          <w:rFonts w:ascii="Arial" w:hAnsi="Arial" w:cs="Arial"/>
        </w:rPr>
        <w:t>Para la armonización del Sistema de Contabilidad Gubernamental, el Instituto Tecnológico Superior de Puerto Peñasco, se ha visto en la necesidad de adecuar dentro de su organización interna algunos procesos, así como implementar modificaciones en los diversos sistemas que le permitan dar cumplimiento a los diversos elementos técnicos-contables, el Marco Conceptual y los Postulados Básicos de Contabilidad Gubernamental, se dispone de lista de Cuentas alineadas al plan de cuentas; clasificadores presupuestarios armonizados y las respectivas matrices de conversión.</w:t>
      </w:r>
    </w:p>
    <w:p w14:paraId="4B1D24ED" w14:textId="77777777" w:rsidR="0094757B" w:rsidRPr="007D167D" w:rsidRDefault="0094757B" w:rsidP="0094757B">
      <w:pPr>
        <w:pStyle w:val="Prrafodelista"/>
        <w:numPr>
          <w:ilvl w:val="0"/>
          <w:numId w:val="6"/>
        </w:numPr>
        <w:tabs>
          <w:tab w:val="left" w:pos="7215"/>
        </w:tabs>
        <w:jc w:val="both"/>
        <w:rPr>
          <w:rFonts w:ascii="Arial" w:hAnsi="Arial" w:cs="Arial"/>
        </w:rPr>
      </w:pPr>
      <w:r w:rsidRPr="007D167D">
        <w:rPr>
          <w:rFonts w:ascii="Arial" w:hAnsi="Arial" w:cs="Arial"/>
        </w:rPr>
        <w:lastRenderedPageBreak/>
        <w:t>La base de medición utilizada en el registro de las operaciones para la elaboración de los Estados Financieros es a Costo histórico, utilizando la base de registro contable denominada "base acumulativa", registrando todas las transacciones efectuadas por el instituto, en base a lo devengado</w:t>
      </w:r>
    </w:p>
    <w:p w14:paraId="381E826C" w14:textId="77777777" w:rsidR="0094757B" w:rsidRPr="007D167D" w:rsidRDefault="0094757B" w:rsidP="0094757B">
      <w:pPr>
        <w:pStyle w:val="Prrafodelista"/>
        <w:tabs>
          <w:tab w:val="left" w:pos="7215"/>
        </w:tabs>
        <w:jc w:val="both"/>
        <w:rPr>
          <w:rFonts w:ascii="Arial" w:hAnsi="Arial" w:cs="Arial"/>
        </w:rPr>
      </w:pPr>
    </w:p>
    <w:p w14:paraId="057E3969" w14:textId="77777777" w:rsidR="0094757B" w:rsidRPr="007D167D" w:rsidRDefault="0094757B" w:rsidP="0094757B">
      <w:pPr>
        <w:pStyle w:val="Prrafodelista"/>
        <w:numPr>
          <w:ilvl w:val="0"/>
          <w:numId w:val="6"/>
        </w:numPr>
        <w:tabs>
          <w:tab w:val="left" w:pos="7215"/>
        </w:tabs>
        <w:jc w:val="both"/>
        <w:rPr>
          <w:rFonts w:ascii="Arial" w:hAnsi="Arial" w:cs="Arial"/>
        </w:rPr>
      </w:pPr>
      <w:r w:rsidRPr="007D167D">
        <w:rPr>
          <w:rFonts w:ascii="Arial" w:hAnsi="Arial" w:cs="Arial"/>
        </w:rPr>
        <w:t xml:space="preserve">Postulados básicos de la Contabilidad gubernamental aprobados por la CONAC. </w:t>
      </w:r>
    </w:p>
    <w:p w14:paraId="566D3242"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Sustancia Económica </w:t>
      </w:r>
    </w:p>
    <w:p w14:paraId="362DE1E6"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Entes Públicos </w:t>
      </w:r>
    </w:p>
    <w:p w14:paraId="193FF8D1"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Existencia Permanente </w:t>
      </w:r>
    </w:p>
    <w:p w14:paraId="46392F9C"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Revelación Suficiente </w:t>
      </w:r>
    </w:p>
    <w:p w14:paraId="1AE44AAB"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Importancia Relativa </w:t>
      </w:r>
    </w:p>
    <w:p w14:paraId="4311312D"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Registro e Integración Presupuestaria </w:t>
      </w:r>
    </w:p>
    <w:p w14:paraId="059867E3"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Consolidación de la Información Financiera </w:t>
      </w:r>
    </w:p>
    <w:p w14:paraId="42D62F74"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Devengo Contable </w:t>
      </w:r>
    </w:p>
    <w:p w14:paraId="2DE753A0"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Valuación </w:t>
      </w:r>
    </w:p>
    <w:p w14:paraId="1E7FFCD7"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Dualidad Económica </w:t>
      </w:r>
    </w:p>
    <w:p w14:paraId="2F13842C" w14:textId="77777777" w:rsidR="0094757B" w:rsidRPr="007D167D" w:rsidRDefault="0094757B" w:rsidP="0094757B">
      <w:pPr>
        <w:pStyle w:val="Prrafodelista"/>
        <w:numPr>
          <w:ilvl w:val="0"/>
          <w:numId w:val="7"/>
        </w:numPr>
        <w:tabs>
          <w:tab w:val="left" w:pos="7215"/>
        </w:tabs>
        <w:ind w:left="1276" w:hanging="283"/>
        <w:jc w:val="both"/>
        <w:rPr>
          <w:rFonts w:ascii="Arial" w:hAnsi="Arial" w:cs="Arial"/>
        </w:rPr>
      </w:pPr>
      <w:r w:rsidRPr="007D167D">
        <w:rPr>
          <w:rFonts w:ascii="Arial" w:hAnsi="Arial" w:cs="Arial"/>
        </w:rPr>
        <w:t>Consistencia</w:t>
      </w:r>
    </w:p>
    <w:p w14:paraId="2AC6EF7F" w14:textId="77777777" w:rsidR="0094757B" w:rsidRPr="007D167D" w:rsidRDefault="0094757B" w:rsidP="0094757B">
      <w:pPr>
        <w:pStyle w:val="Prrafodelista"/>
        <w:numPr>
          <w:ilvl w:val="0"/>
          <w:numId w:val="6"/>
        </w:numPr>
        <w:tabs>
          <w:tab w:val="left" w:pos="7215"/>
        </w:tabs>
        <w:jc w:val="both"/>
        <w:rPr>
          <w:rFonts w:ascii="Arial" w:hAnsi="Arial" w:cs="Arial"/>
        </w:rPr>
      </w:pPr>
      <w:r w:rsidRPr="007D167D">
        <w:rPr>
          <w:rFonts w:ascii="Arial" w:hAnsi="Arial" w:cs="Arial"/>
        </w:rPr>
        <w:t>No aplica.</w:t>
      </w:r>
    </w:p>
    <w:p w14:paraId="2CDE9B94" w14:textId="77777777" w:rsidR="0094757B" w:rsidRDefault="0094757B" w:rsidP="0094757B">
      <w:pPr>
        <w:pStyle w:val="Prrafodelista"/>
        <w:numPr>
          <w:ilvl w:val="0"/>
          <w:numId w:val="6"/>
        </w:numPr>
        <w:tabs>
          <w:tab w:val="left" w:pos="7215"/>
        </w:tabs>
        <w:jc w:val="both"/>
        <w:rPr>
          <w:rFonts w:ascii="Arial" w:hAnsi="Arial" w:cs="Arial"/>
        </w:rPr>
      </w:pPr>
      <w:r w:rsidRPr="007D167D">
        <w:rPr>
          <w:rFonts w:ascii="Arial" w:hAnsi="Arial" w:cs="Arial"/>
        </w:rPr>
        <w:t>No aplica.</w:t>
      </w:r>
    </w:p>
    <w:p w14:paraId="73033855" w14:textId="0B63D756" w:rsidR="0094757B" w:rsidRDefault="0094757B" w:rsidP="0094757B">
      <w:pPr>
        <w:pStyle w:val="Prrafodelista"/>
        <w:tabs>
          <w:tab w:val="left" w:pos="7215"/>
        </w:tabs>
        <w:ind w:left="502"/>
        <w:jc w:val="both"/>
        <w:rPr>
          <w:rFonts w:ascii="Arial" w:hAnsi="Arial" w:cs="Arial"/>
        </w:rPr>
      </w:pPr>
    </w:p>
    <w:p w14:paraId="1048A835" w14:textId="77777777" w:rsidR="0094757B" w:rsidRPr="007D167D" w:rsidRDefault="0094757B" w:rsidP="0094757B">
      <w:pPr>
        <w:pStyle w:val="Prrafodelista"/>
        <w:tabs>
          <w:tab w:val="left" w:pos="7215"/>
        </w:tabs>
        <w:ind w:left="502"/>
        <w:jc w:val="both"/>
        <w:rPr>
          <w:rFonts w:ascii="Arial" w:hAnsi="Arial" w:cs="Arial"/>
        </w:rPr>
      </w:pPr>
    </w:p>
    <w:p w14:paraId="5D94FE3A" w14:textId="77777777" w:rsidR="0094757B" w:rsidRPr="007D167D" w:rsidRDefault="0094757B" w:rsidP="0094757B">
      <w:pPr>
        <w:tabs>
          <w:tab w:val="left" w:pos="7215"/>
        </w:tabs>
        <w:jc w:val="both"/>
        <w:rPr>
          <w:rFonts w:ascii="Arial" w:hAnsi="Arial" w:cs="Arial"/>
          <w:b/>
        </w:rPr>
      </w:pPr>
      <w:r w:rsidRPr="007D167D">
        <w:rPr>
          <w:rFonts w:ascii="Arial" w:hAnsi="Arial" w:cs="Arial"/>
          <w:b/>
        </w:rPr>
        <w:t>6.- Políticas de Contabilidad Significativas.</w:t>
      </w:r>
    </w:p>
    <w:p w14:paraId="37E9DFE5" w14:textId="77777777" w:rsidR="0094757B" w:rsidRPr="007D167D" w:rsidRDefault="0094757B" w:rsidP="0094757B">
      <w:pPr>
        <w:tabs>
          <w:tab w:val="left" w:pos="7215"/>
        </w:tabs>
        <w:jc w:val="both"/>
        <w:rPr>
          <w:rFonts w:ascii="Arial" w:hAnsi="Arial" w:cs="Arial"/>
        </w:rPr>
      </w:pPr>
      <w:r w:rsidRPr="007D167D">
        <w:rPr>
          <w:rFonts w:ascii="Arial" w:hAnsi="Arial" w:cs="Arial"/>
        </w:rPr>
        <w:t>Se informará sobre:</w:t>
      </w:r>
    </w:p>
    <w:p w14:paraId="223F3274" w14:textId="77777777" w:rsidR="0094757B" w:rsidRPr="007D167D" w:rsidRDefault="0094757B" w:rsidP="0094757B">
      <w:pPr>
        <w:tabs>
          <w:tab w:val="left" w:pos="7215"/>
        </w:tabs>
        <w:ind w:left="142"/>
        <w:jc w:val="both"/>
        <w:rPr>
          <w:rFonts w:ascii="Arial" w:hAnsi="Arial" w:cs="Arial"/>
        </w:rPr>
      </w:pPr>
      <w:r w:rsidRPr="007D167D">
        <w:rPr>
          <w:rFonts w:ascii="Arial" w:hAnsi="Arial" w:cs="Arial"/>
        </w:rPr>
        <w:t xml:space="preserve">a) En los presentes Estados Financieros no se aplica algún método para la actualización de los activos, pasivos y Hacienda Pública y/o Patrimonio. </w:t>
      </w:r>
    </w:p>
    <w:p w14:paraId="6D7F52F2" w14:textId="77777777" w:rsidR="0094757B" w:rsidRPr="007D167D" w:rsidRDefault="0094757B" w:rsidP="0094757B">
      <w:pPr>
        <w:tabs>
          <w:tab w:val="left" w:pos="7215"/>
        </w:tabs>
        <w:ind w:left="142"/>
        <w:jc w:val="both"/>
        <w:rPr>
          <w:rFonts w:ascii="Arial" w:hAnsi="Arial" w:cs="Arial"/>
        </w:rPr>
      </w:pPr>
      <w:r w:rsidRPr="007D167D">
        <w:rPr>
          <w:rFonts w:ascii="Arial" w:hAnsi="Arial" w:cs="Arial"/>
        </w:rPr>
        <w:t xml:space="preserve">b) El Instituto Tecnológico Superior de Puerto Peñasco, no realizó operaciones en el extranjero. </w:t>
      </w:r>
    </w:p>
    <w:p w14:paraId="489E00B4" w14:textId="77777777" w:rsidR="0094757B" w:rsidRPr="007D167D" w:rsidRDefault="0094757B" w:rsidP="0094757B">
      <w:pPr>
        <w:tabs>
          <w:tab w:val="left" w:pos="7215"/>
        </w:tabs>
        <w:ind w:left="142"/>
        <w:jc w:val="both"/>
        <w:rPr>
          <w:rFonts w:ascii="Arial" w:hAnsi="Arial" w:cs="Arial"/>
        </w:rPr>
      </w:pPr>
      <w:r w:rsidRPr="007D167D">
        <w:rPr>
          <w:rFonts w:ascii="Arial" w:hAnsi="Arial" w:cs="Arial"/>
        </w:rPr>
        <w:t xml:space="preserve">c) Los Estados financieros no presentan registros de reservas. </w:t>
      </w:r>
    </w:p>
    <w:p w14:paraId="708DDDB8" w14:textId="77777777" w:rsidR="0094757B" w:rsidRPr="007D167D" w:rsidRDefault="0094757B" w:rsidP="0094757B">
      <w:pPr>
        <w:tabs>
          <w:tab w:val="left" w:pos="7215"/>
        </w:tabs>
        <w:ind w:left="142"/>
        <w:jc w:val="both"/>
        <w:rPr>
          <w:rFonts w:ascii="Arial" w:hAnsi="Arial" w:cs="Arial"/>
        </w:rPr>
      </w:pPr>
      <w:r w:rsidRPr="007D167D">
        <w:rPr>
          <w:rFonts w:ascii="Arial" w:hAnsi="Arial" w:cs="Arial"/>
        </w:rPr>
        <w:t>d) Los bienes se registran a su costo de adquisición. No se reconocen los efectos de la inflación en los estados financieros y las cifras incluidas en los mismos fueron determinadas con base en costos históricos, debido a que somos una institución con fines no lucrativos y no tenemos como propósito darle mantenimiento financiero a nuestro patrimonio.</w:t>
      </w:r>
    </w:p>
    <w:p w14:paraId="0D7FBE01" w14:textId="77777777" w:rsidR="0094757B" w:rsidRPr="007D167D" w:rsidRDefault="0094757B" w:rsidP="0094757B">
      <w:pPr>
        <w:tabs>
          <w:tab w:val="left" w:pos="7215"/>
        </w:tabs>
        <w:ind w:left="142"/>
        <w:jc w:val="both"/>
        <w:rPr>
          <w:rFonts w:ascii="Arial" w:hAnsi="Arial" w:cs="Arial"/>
        </w:rPr>
      </w:pPr>
      <w:r w:rsidRPr="007D167D">
        <w:rPr>
          <w:rFonts w:ascii="Arial" w:hAnsi="Arial" w:cs="Arial"/>
        </w:rPr>
        <w:t>e) Los gastos se reconocen y se registran en el momento que se devengan y los ingresos se registran conforme a las normas y metodologías para la determinación de los momentos contables de los ingresos emitido por CONAC</w:t>
      </w:r>
    </w:p>
    <w:p w14:paraId="78A8DE0A" w14:textId="77777777" w:rsidR="0094757B" w:rsidRPr="007D167D" w:rsidRDefault="0094757B" w:rsidP="0094757B">
      <w:pPr>
        <w:tabs>
          <w:tab w:val="left" w:pos="7215"/>
        </w:tabs>
        <w:ind w:left="142"/>
        <w:jc w:val="both"/>
        <w:rPr>
          <w:rFonts w:ascii="Arial" w:hAnsi="Arial" w:cs="Arial"/>
        </w:rPr>
      </w:pPr>
      <w:r w:rsidRPr="007D167D">
        <w:rPr>
          <w:rFonts w:ascii="Arial" w:hAnsi="Arial" w:cs="Arial"/>
        </w:rPr>
        <w:t>f) La depreciación de Inmuebles, Maquinaria y equipo: Se reconoce la depreciación en línea recta de los bienes a través del tiempo, atendiendo a la vida útil de los mismos en base a la guía de Vida Útil estimada y porcentajes de depreciación emitida por CONAC.</w:t>
      </w:r>
    </w:p>
    <w:p w14:paraId="015B0FE3" w14:textId="6316A4CA" w:rsidR="0094757B" w:rsidRDefault="0094757B" w:rsidP="008365E9">
      <w:pPr>
        <w:tabs>
          <w:tab w:val="left" w:pos="7215"/>
        </w:tabs>
        <w:ind w:left="142"/>
        <w:jc w:val="both"/>
        <w:rPr>
          <w:rFonts w:ascii="Arial" w:hAnsi="Arial" w:cs="Arial"/>
        </w:rPr>
      </w:pPr>
      <w:r w:rsidRPr="007D167D">
        <w:rPr>
          <w:rFonts w:ascii="Arial" w:hAnsi="Arial" w:cs="Arial"/>
        </w:rPr>
        <w:t>g) Las inversiones en activos no monetarios se registran a valor de adquisición en resultados como en patrimonio y son considerados como egresos en el periodo que se adquieren.</w:t>
      </w:r>
    </w:p>
    <w:p w14:paraId="636CCDAC" w14:textId="77777777" w:rsidR="0094757B" w:rsidRPr="007D167D" w:rsidRDefault="0094757B" w:rsidP="0094757B">
      <w:pPr>
        <w:tabs>
          <w:tab w:val="left" w:pos="7215"/>
        </w:tabs>
        <w:jc w:val="both"/>
        <w:rPr>
          <w:rFonts w:ascii="Arial" w:hAnsi="Arial" w:cs="Arial"/>
          <w:b/>
        </w:rPr>
      </w:pPr>
      <w:r w:rsidRPr="007D167D">
        <w:rPr>
          <w:rFonts w:ascii="Arial" w:hAnsi="Arial" w:cs="Arial"/>
          <w:b/>
        </w:rPr>
        <w:lastRenderedPageBreak/>
        <w:t xml:space="preserve">7.- Posición en Moneda Extranjera y Protección por Riesgo Cambiario. </w:t>
      </w:r>
    </w:p>
    <w:p w14:paraId="601B3CA7" w14:textId="77777777" w:rsidR="0094757B" w:rsidRDefault="0094757B" w:rsidP="0094757B">
      <w:pPr>
        <w:tabs>
          <w:tab w:val="left" w:pos="7215"/>
        </w:tabs>
        <w:jc w:val="both"/>
        <w:rPr>
          <w:rFonts w:ascii="Arial" w:hAnsi="Arial" w:cs="Arial"/>
        </w:rPr>
      </w:pPr>
      <w:r w:rsidRPr="007D167D">
        <w:rPr>
          <w:rFonts w:ascii="Arial" w:hAnsi="Arial" w:cs="Arial"/>
        </w:rPr>
        <w:t>El Instituto Tecnológico Superior de Puerto Peñasco no cuenta con operaciones en moneda extranjera, que representen algún riesgo cambiario.</w:t>
      </w:r>
    </w:p>
    <w:p w14:paraId="0FF2A9E3" w14:textId="77777777" w:rsidR="0094757B" w:rsidRPr="007D167D" w:rsidRDefault="0094757B" w:rsidP="0094757B">
      <w:pPr>
        <w:tabs>
          <w:tab w:val="left" w:pos="7215"/>
        </w:tabs>
        <w:jc w:val="both"/>
        <w:rPr>
          <w:rFonts w:ascii="Arial" w:hAnsi="Arial" w:cs="Arial"/>
        </w:rPr>
      </w:pPr>
    </w:p>
    <w:p w14:paraId="6B6C2D6C" w14:textId="77777777" w:rsidR="0094757B" w:rsidRPr="007D167D" w:rsidRDefault="0094757B" w:rsidP="0094757B">
      <w:pPr>
        <w:tabs>
          <w:tab w:val="left" w:pos="7215"/>
        </w:tabs>
        <w:jc w:val="both"/>
        <w:rPr>
          <w:rFonts w:ascii="Arial" w:hAnsi="Arial" w:cs="Arial"/>
          <w:b/>
        </w:rPr>
      </w:pPr>
      <w:r w:rsidRPr="007D167D">
        <w:rPr>
          <w:rFonts w:ascii="Arial" w:hAnsi="Arial" w:cs="Arial"/>
          <w:b/>
        </w:rPr>
        <w:t xml:space="preserve">8.- Reporte Analítico del Activo. </w:t>
      </w:r>
    </w:p>
    <w:p w14:paraId="30177EC6" w14:textId="77777777" w:rsidR="0094757B" w:rsidRPr="007D167D" w:rsidRDefault="0094757B" w:rsidP="0094757B">
      <w:pPr>
        <w:tabs>
          <w:tab w:val="left" w:pos="7215"/>
        </w:tabs>
        <w:jc w:val="both"/>
        <w:rPr>
          <w:rFonts w:ascii="Arial" w:hAnsi="Arial" w:cs="Arial"/>
        </w:rPr>
      </w:pPr>
      <w:r w:rsidRPr="007D167D">
        <w:rPr>
          <w:rFonts w:ascii="Arial" w:hAnsi="Arial" w:cs="Arial"/>
        </w:rPr>
        <w:t>De los Activos registrados en los Estados Financieros del Instituto Tecnológico Superior de Puerto Peñasco, se registra la depreciación, y el deterioro de los Activos, así como la amortización de los activos intangibles, a partir de 1 de septiembre del 2014. (de acuerdo a la vida útil del bien y porcentajes de depreciación emitidos por CONAC). Se adjunta tabla</w:t>
      </w:r>
    </w:p>
    <w:p w14:paraId="10673332" w14:textId="77777777" w:rsidR="0094757B" w:rsidRPr="007D167D" w:rsidRDefault="0094757B" w:rsidP="0094757B">
      <w:pPr>
        <w:tabs>
          <w:tab w:val="left" w:pos="7215"/>
        </w:tabs>
        <w:jc w:val="center"/>
        <w:rPr>
          <w:rFonts w:ascii="Arial" w:hAnsi="Arial" w:cs="Arial"/>
          <w:highlight w:val="yellow"/>
        </w:rPr>
      </w:pPr>
      <w:r w:rsidRPr="007D167D">
        <w:rPr>
          <w:rFonts w:ascii="Arial" w:hAnsi="Arial" w:cs="Arial"/>
          <w:noProof/>
          <w:color w:val="000000"/>
          <w:lang w:eastAsia="es-MX"/>
        </w:rPr>
        <w:drawing>
          <wp:inline distT="0" distB="0" distL="0" distR="0" wp14:anchorId="612F2009" wp14:editId="5BC5EBA8">
            <wp:extent cx="4105275" cy="5524500"/>
            <wp:effectExtent l="0" t="0" r="9525" b="0"/>
            <wp:docPr id="26" name="Imagen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4167022" cy="5607594"/>
                    </a:xfrm>
                    <a:prstGeom prst="rect">
                      <a:avLst/>
                    </a:prstGeom>
                    <a:noFill/>
                  </pic:spPr>
                </pic:pic>
              </a:graphicData>
            </a:graphic>
          </wp:inline>
        </w:drawing>
      </w:r>
    </w:p>
    <w:p w14:paraId="10A2CF6A" w14:textId="52EE6B1D" w:rsidR="0094757B" w:rsidRPr="008365E9" w:rsidRDefault="0094757B" w:rsidP="0094757B">
      <w:pPr>
        <w:tabs>
          <w:tab w:val="left" w:pos="7215"/>
        </w:tabs>
        <w:jc w:val="both"/>
        <w:rPr>
          <w:rFonts w:ascii="Arial" w:hAnsi="Arial" w:cs="Arial"/>
        </w:rPr>
      </w:pPr>
      <w:r w:rsidRPr="007D167D">
        <w:rPr>
          <w:rFonts w:ascii="Arial" w:hAnsi="Arial" w:cs="Arial"/>
        </w:rPr>
        <w:t>Formato ETCA.</w:t>
      </w:r>
      <w:r>
        <w:rPr>
          <w:rFonts w:ascii="Arial" w:hAnsi="Arial" w:cs="Arial"/>
        </w:rPr>
        <w:t xml:space="preserve"> </w:t>
      </w:r>
      <w:r w:rsidRPr="007D167D">
        <w:rPr>
          <w:rFonts w:ascii="Arial" w:hAnsi="Arial" w:cs="Arial"/>
        </w:rPr>
        <w:t>- Estado Analíticos del Activo.</w:t>
      </w:r>
    </w:p>
    <w:p w14:paraId="50FBDBF1" w14:textId="77777777" w:rsidR="0094757B" w:rsidRPr="007D167D" w:rsidRDefault="0094757B" w:rsidP="0094757B">
      <w:pPr>
        <w:tabs>
          <w:tab w:val="left" w:pos="7215"/>
        </w:tabs>
        <w:jc w:val="both"/>
        <w:rPr>
          <w:rFonts w:ascii="Arial" w:hAnsi="Arial" w:cs="Arial"/>
          <w:b/>
        </w:rPr>
      </w:pPr>
      <w:r w:rsidRPr="007D167D">
        <w:rPr>
          <w:rFonts w:ascii="Arial" w:hAnsi="Arial" w:cs="Arial"/>
          <w:b/>
        </w:rPr>
        <w:lastRenderedPageBreak/>
        <w:t>9.- Fideicomiso, mandatos y análogos</w:t>
      </w:r>
    </w:p>
    <w:p w14:paraId="69317C7F" w14:textId="62467744" w:rsidR="0094757B" w:rsidRPr="007D167D" w:rsidRDefault="0094757B" w:rsidP="0094757B">
      <w:pPr>
        <w:tabs>
          <w:tab w:val="left" w:pos="7215"/>
        </w:tabs>
        <w:jc w:val="both"/>
        <w:rPr>
          <w:rFonts w:ascii="Arial" w:hAnsi="Arial" w:cs="Arial"/>
        </w:rPr>
      </w:pPr>
      <w:r w:rsidRPr="007D167D">
        <w:rPr>
          <w:rFonts w:ascii="Arial" w:hAnsi="Arial" w:cs="Arial"/>
        </w:rPr>
        <w:t>Instituto Tecnológico Superior de Puerto Peñasco no se encuentra en supuestos de este apart</w:t>
      </w:r>
      <w:r>
        <w:rPr>
          <w:rFonts w:ascii="Arial" w:hAnsi="Arial" w:cs="Arial"/>
        </w:rPr>
        <w:t>ado.</w:t>
      </w:r>
    </w:p>
    <w:p w14:paraId="5A3C4BD2" w14:textId="35F7C06B" w:rsidR="0094757B" w:rsidRDefault="0094757B" w:rsidP="0094757B">
      <w:pPr>
        <w:tabs>
          <w:tab w:val="left" w:pos="7215"/>
        </w:tabs>
        <w:jc w:val="both"/>
        <w:rPr>
          <w:rFonts w:ascii="Arial" w:hAnsi="Arial" w:cs="Arial"/>
          <w:b/>
        </w:rPr>
      </w:pPr>
    </w:p>
    <w:p w14:paraId="5635A0C9" w14:textId="77777777" w:rsidR="0094757B" w:rsidRPr="007D167D" w:rsidRDefault="0094757B" w:rsidP="0094757B">
      <w:pPr>
        <w:tabs>
          <w:tab w:val="left" w:pos="7215"/>
        </w:tabs>
        <w:jc w:val="both"/>
        <w:rPr>
          <w:rFonts w:ascii="Arial" w:hAnsi="Arial" w:cs="Arial"/>
          <w:b/>
        </w:rPr>
      </w:pPr>
      <w:r w:rsidRPr="007D167D">
        <w:rPr>
          <w:rFonts w:ascii="Arial" w:hAnsi="Arial" w:cs="Arial"/>
          <w:b/>
        </w:rPr>
        <w:t>10.-Reporte de recaudación.</w:t>
      </w:r>
    </w:p>
    <w:p w14:paraId="626635A1" w14:textId="6A3CAA71" w:rsidR="0094757B" w:rsidRPr="007D167D" w:rsidRDefault="0094757B" w:rsidP="0094757B">
      <w:pPr>
        <w:tabs>
          <w:tab w:val="left" w:pos="7215"/>
        </w:tabs>
        <w:jc w:val="both"/>
        <w:rPr>
          <w:rFonts w:ascii="Arial" w:hAnsi="Arial" w:cs="Arial"/>
        </w:rPr>
      </w:pPr>
      <w:r w:rsidRPr="007D167D">
        <w:rPr>
          <w:rFonts w:ascii="Arial" w:hAnsi="Arial" w:cs="Arial"/>
        </w:rPr>
        <w:t>a). -El Instituto Tecnológico Superior de Puerto Peñasco para el ejercicio fiscal 2024, cuenta con la siguiente recaudación como se muestra en la siguiente tabla:</w:t>
      </w:r>
    </w:p>
    <w:tbl>
      <w:tblPr>
        <w:tblW w:w="6627" w:type="dxa"/>
        <w:jc w:val="center"/>
        <w:tblCellMar>
          <w:left w:w="70" w:type="dxa"/>
          <w:right w:w="70" w:type="dxa"/>
        </w:tblCellMar>
        <w:tblLook w:val="04A0" w:firstRow="1" w:lastRow="0" w:firstColumn="1" w:lastColumn="0" w:noHBand="0" w:noVBand="1"/>
      </w:tblPr>
      <w:tblGrid>
        <w:gridCol w:w="1866"/>
        <w:gridCol w:w="1587"/>
        <w:gridCol w:w="1587"/>
        <w:gridCol w:w="1587"/>
      </w:tblGrid>
      <w:tr w:rsidR="0094757B" w:rsidRPr="00DA5D29" w14:paraId="156A710B" w14:textId="77777777" w:rsidTr="005762B1">
        <w:trPr>
          <w:trHeight w:val="242"/>
          <w:jc w:val="center"/>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B53A0" w14:textId="77777777" w:rsidR="0094757B" w:rsidRPr="00DA5D29" w:rsidRDefault="0094757B" w:rsidP="005762B1">
            <w:pPr>
              <w:spacing w:after="0" w:line="240" w:lineRule="auto"/>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ENTIDAD</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4563E5C2" w14:textId="77777777" w:rsidR="0094757B" w:rsidRPr="00DA5D29" w:rsidRDefault="0094757B" w:rsidP="005762B1">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AUTORIZADO </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24722C01" w14:textId="77777777" w:rsidR="0094757B" w:rsidRPr="00DA5D29" w:rsidRDefault="0094757B" w:rsidP="005762B1">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MODIFICADO </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4B0EE4C0" w14:textId="77777777" w:rsidR="0094757B" w:rsidRPr="00DA5D29" w:rsidRDefault="0094757B" w:rsidP="005762B1">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RECAUDADO </w:t>
            </w:r>
          </w:p>
        </w:tc>
      </w:tr>
      <w:tr w:rsidR="0094757B" w:rsidRPr="00DA5D29" w14:paraId="27D8F8FB" w14:textId="77777777" w:rsidTr="005762B1">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2F7F7DED" w14:textId="7777777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Gobierno Federal</w:t>
            </w:r>
          </w:p>
        </w:tc>
        <w:tc>
          <w:tcPr>
            <w:tcW w:w="1587" w:type="dxa"/>
            <w:tcBorders>
              <w:top w:val="nil"/>
              <w:left w:val="nil"/>
              <w:bottom w:val="single" w:sz="4" w:space="0" w:color="auto"/>
              <w:right w:val="single" w:sz="4" w:space="0" w:color="auto"/>
            </w:tcBorders>
            <w:shd w:val="clear" w:color="auto" w:fill="auto"/>
            <w:noWrap/>
            <w:vAlign w:val="bottom"/>
            <w:hideMark/>
          </w:tcPr>
          <w:p w14:paraId="490EB926" w14:textId="7777777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26,730,066.00 </w:t>
            </w:r>
          </w:p>
        </w:tc>
        <w:tc>
          <w:tcPr>
            <w:tcW w:w="1587" w:type="dxa"/>
            <w:tcBorders>
              <w:top w:val="nil"/>
              <w:left w:val="nil"/>
              <w:bottom w:val="single" w:sz="4" w:space="0" w:color="auto"/>
              <w:right w:val="single" w:sz="4" w:space="0" w:color="auto"/>
            </w:tcBorders>
            <w:shd w:val="clear" w:color="auto" w:fill="auto"/>
            <w:noWrap/>
            <w:vAlign w:val="bottom"/>
            <w:hideMark/>
          </w:tcPr>
          <w:p w14:paraId="54E1CEA8" w14:textId="23FB043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2</w:t>
            </w:r>
            <w:r w:rsidR="00C23220">
              <w:rPr>
                <w:rFonts w:ascii="Calibri" w:eastAsia="Times New Roman" w:hAnsi="Calibri" w:cs="Calibri"/>
                <w:color w:val="000000"/>
                <w:lang w:eastAsia="es-MX"/>
              </w:rPr>
              <w:t>7</w:t>
            </w:r>
            <w:r w:rsidRPr="00DA5D29">
              <w:rPr>
                <w:rFonts w:ascii="Calibri" w:eastAsia="Times New Roman" w:hAnsi="Calibri" w:cs="Calibri"/>
                <w:color w:val="000000"/>
                <w:lang w:eastAsia="es-MX"/>
              </w:rPr>
              <w:t>,</w:t>
            </w:r>
            <w:r w:rsidR="00C23220">
              <w:rPr>
                <w:rFonts w:ascii="Calibri" w:eastAsia="Times New Roman" w:hAnsi="Calibri" w:cs="Calibri"/>
                <w:color w:val="000000"/>
                <w:lang w:eastAsia="es-MX"/>
              </w:rPr>
              <w:t>268,955</w:t>
            </w:r>
            <w:r w:rsidRPr="00DA5D29">
              <w:rPr>
                <w:rFonts w:ascii="Calibri" w:eastAsia="Times New Roman" w:hAnsi="Calibri" w:cs="Calibri"/>
                <w:color w:val="000000"/>
                <w:lang w:eastAsia="es-MX"/>
              </w:rPr>
              <w:t xml:space="preserve">.00 </w:t>
            </w:r>
          </w:p>
        </w:tc>
        <w:tc>
          <w:tcPr>
            <w:tcW w:w="1587" w:type="dxa"/>
            <w:tcBorders>
              <w:top w:val="nil"/>
              <w:left w:val="nil"/>
              <w:bottom w:val="single" w:sz="4" w:space="0" w:color="auto"/>
              <w:right w:val="single" w:sz="4" w:space="0" w:color="auto"/>
            </w:tcBorders>
            <w:shd w:val="clear" w:color="auto" w:fill="auto"/>
            <w:noWrap/>
            <w:vAlign w:val="bottom"/>
            <w:hideMark/>
          </w:tcPr>
          <w:p w14:paraId="75C1D36D" w14:textId="74041821"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w:t>
            </w:r>
            <w:r w:rsidR="00C23220">
              <w:rPr>
                <w:rFonts w:ascii="Calibri" w:eastAsia="Times New Roman" w:hAnsi="Calibri" w:cs="Calibri"/>
                <w:color w:val="000000"/>
                <w:lang w:eastAsia="es-MX"/>
              </w:rPr>
              <w:t>27,268,955</w:t>
            </w:r>
            <w:r w:rsidRPr="00DA5D29">
              <w:rPr>
                <w:rFonts w:ascii="Calibri" w:eastAsia="Times New Roman" w:hAnsi="Calibri" w:cs="Calibri"/>
                <w:color w:val="000000"/>
                <w:lang w:eastAsia="es-MX"/>
              </w:rPr>
              <w:t xml:space="preserve">.00 </w:t>
            </w:r>
          </w:p>
        </w:tc>
      </w:tr>
      <w:tr w:rsidR="0094757B" w:rsidRPr="00DA5D29" w14:paraId="0EDE1683" w14:textId="77777777" w:rsidTr="005762B1">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49D47CBD" w14:textId="7777777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Gobierno Estatal</w:t>
            </w:r>
          </w:p>
        </w:tc>
        <w:tc>
          <w:tcPr>
            <w:tcW w:w="1587" w:type="dxa"/>
            <w:tcBorders>
              <w:top w:val="nil"/>
              <w:left w:val="nil"/>
              <w:bottom w:val="single" w:sz="4" w:space="0" w:color="auto"/>
              <w:right w:val="single" w:sz="4" w:space="0" w:color="auto"/>
            </w:tcBorders>
            <w:shd w:val="clear" w:color="auto" w:fill="auto"/>
            <w:noWrap/>
            <w:vAlign w:val="bottom"/>
            <w:hideMark/>
          </w:tcPr>
          <w:p w14:paraId="77C24A67" w14:textId="7777777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18,704,322.00 </w:t>
            </w:r>
          </w:p>
        </w:tc>
        <w:tc>
          <w:tcPr>
            <w:tcW w:w="1587" w:type="dxa"/>
            <w:tcBorders>
              <w:top w:val="nil"/>
              <w:left w:val="nil"/>
              <w:bottom w:val="single" w:sz="4" w:space="0" w:color="auto"/>
              <w:right w:val="single" w:sz="4" w:space="0" w:color="auto"/>
            </w:tcBorders>
            <w:shd w:val="clear" w:color="auto" w:fill="auto"/>
            <w:noWrap/>
            <w:vAlign w:val="bottom"/>
            <w:hideMark/>
          </w:tcPr>
          <w:p w14:paraId="73AD5943" w14:textId="517DF8BF"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w:t>
            </w:r>
            <w:r w:rsidR="00C23220">
              <w:rPr>
                <w:rFonts w:ascii="Calibri" w:eastAsia="Times New Roman" w:hAnsi="Calibri" w:cs="Calibri"/>
                <w:color w:val="000000"/>
                <w:lang w:eastAsia="es-MX"/>
              </w:rPr>
              <w:t>30,25</w:t>
            </w:r>
            <w:r w:rsidR="00513015">
              <w:rPr>
                <w:rFonts w:ascii="Calibri" w:eastAsia="Times New Roman" w:hAnsi="Calibri" w:cs="Calibri"/>
                <w:color w:val="000000"/>
                <w:lang w:eastAsia="es-MX"/>
              </w:rPr>
              <w:t>3,494.00</w:t>
            </w:r>
            <w:r w:rsidRPr="00DA5D29">
              <w:rPr>
                <w:rFonts w:ascii="Calibri" w:eastAsia="Times New Roman" w:hAnsi="Calibri" w:cs="Calibri"/>
                <w:color w:val="000000"/>
                <w:lang w:eastAsia="es-MX"/>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14:paraId="5C464551" w14:textId="3F5BACA3"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w:t>
            </w:r>
            <w:r w:rsidR="00C23220">
              <w:rPr>
                <w:rFonts w:ascii="Calibri" w:eastAsia="Times New Roman" w:hAnsi="Calibri" w:cs="Calibri"/>
                <w:color w:val="000000"/>
                <w:lang w:eastAsia="es-MX"/>
              </w:rPr>
              <w:t>26,978,</w:t>
            </w:r>
            <w:r w:rsidR="00513015">
              <w:rPr>
                <w:rFonts w:ascii="Calibri" w:eastAsia="Times New Roman" w:hAnsi="Calibri" w:cs="Calibri"/>
                <w:color w:val="000000"/>
                <w:lang w:eastAsia="es-MX"/>
              </w:rPr>
              <w:t>999.00</w:t>
            </w:r>
            <w:r w:rsidRPr="00DA5D29">
              <w:rPr>
                <w:rFonts w:ascii="Calibri" w:eastAsia="Times New Roman" w:hAnsi="Calibri" w:cs="Calibri"/>
                <w:color w:val="000000"/>
                <w:lang w:eastAsia="es-MX"/>
              </w:rPr>
              <w:t xml:space="preserve"> </w:t>
            </w:r>
          </w:p>
        </w:tc>
      </w:tr>
      <w:tr w:rsidR="0094757B" w:rsidRPr="00DA5D29" w14:paraId="33D843B5" w14:textId="77777777" w:rsidTr="005762B1">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79124A25" w14:textId="7777777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Recursos Propios</w:t>
            </w:r>
          </w:p>
        </w:tc>
        <w:tc>
          <w:tcPr>
            <w:tcW w:w="1587" w:type="dxa"/>
            <w:tcBorders>
              <w:top w:val="nil"/>
              <w:left w:val="nil"/>
              <w:bottom w:val="single" w:sz="4" w:space="0" w:color="auto"/>
              <w:right w:val="single" w:sz="4" w:space="0" w:color="auto"/>
            </w:tcBorders>
            <w:shd w:val="clear" w:color="auto" w:fill="auto"/>
            <w:noWrap/>
            <w:vAlign w:val="bottom"/>
            <w:hideMark/>
          </w:tcPr>
          <w:p w14:paraId="4DB3743D" w14:textId="77777777"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3,188,540.00 </w:t>
            </w:r>
          </w:p>
        </w:tc>
        <w:tc>
          <w:tcPr>
            <w:tcW w:w="1587" w:type="dxa"/>
            <w:tcBorders>
              <w:top w:val="nil"/>
              <w:left w:val="nil"/>
              <w:bottom w:val="single" w:sz="4" w:space="0" w:color="auto"/>
              <w:right w:val="single" w:sz="4" w:space="0" w:color="auto"/>
            </w:tcBorders>
            <w:shd w:val="clear" w:color="auto" w:fill="auto"/>
            <w:noWrap/>
            <w:vAlign w:val="bottom"/>
            <w:hideMark/>
          </w:tcPr>
          <w:p w14:paraId="787F194E" w14:textId="26B80564" w:rsidR="0094757B" w:rsidRPr="00DA5D29" w:rsidRDefault="0094757B"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3,</w:t>
            </w:r>
            <w:r w:rsidR="00513015">
              <w:rPr>
                <w:rFonts w:ascii="Calibri" w:eastAsia="Times New Roman" w:hAnsi="Calibri" w:cs="Calibri"/>
                <w:color w:val="000000"/>
                <w:lang w:eastAsia="es-MX"/>
              </w:rPr>
              <w:t>324,358.00</w:t>
            </w:r>
            <w:r w:rsidRPr="00DA5D29">
              <w:rPr>
                <w:rFonts w:ascii="Calibri" w:eastAsia="Times New Roman" w:hAnsi="Calibri" w:cs="Calibri"/>
                <w:color w:val="000000"/>
                <w:lang w:eastAsia="es-MX"/>
              </w:rP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14:paraId="3EFABAAD" w14:textId="730BD122" w:rsidR="0094757B" w:rsidRPr="00DA5D29" w:rsidRDefault="00513015" w:rsidP="005762B1">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3,</w:t>
            </w:r>
            <w:r>
              <w:rPr>
                <w:rFonts w:ascii="Calibri" w:eastAsia="Times New Roman" w:hAnsi="Calibri" w:cs="Calibri"/>
                <w:color w:val="000000"/>
                <w:lang w:eastAsia="es-MX"/>
              </w:rPr>
              <w:t>324,358.00</w:t>
            </w:r>
          </w:p>
        </w:tc>
      </w:tr>
      <w:tr w:rsidR="0094757B" w:rsidRPr="00DA5D29" w14:paraId="058E2225" w14:textId="77777777" w:rsidTr="005762B1">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0AAA4DD3" w14:textId="77777777" w:rsidR="0094757B" w:rsidRPr="00DA5D29" w:rsidRDefault="0094757B" w:rsidP="005762B1">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TOTAL</w:t>
            </w:r>
          </w:p>
        </w:tc>
        <w:tc>
          <w:tcPr>
            <w:tcW w:w="1587" w:type="dxa"/>
            <w:tcBorders>
              <w:top w:val="nil"/>
              <w:left w:val="nil"/>
              <w:bottom w:val="single" w:sz="4" w:space="0" w:color="auto"/>
              <w:right w:val="single" w:sz="4" w:space="0" w:color="auto"/>
            </w:tcBorders>
            <w:shd w:val="clear" w:color="auto" w:fill="auto"/>
            <w:noWrap/>
            <w:vAlign w:val="bottom"/>
            <w:hideMark/>
          </w:tcPr>
          <w:p w14:paraId="42784DAD" w14:textId="77777777" w:rsidR="0094757B" w:rsidRPr="00DA5D29" w:rsidRDefault="0094757B" w:rsidP="005762B1">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48,622,928.00 </w:t>
            </w:r>
          </w:p>
        </w:tc>
        <w:tc>
          <w:tcPr>
            <w:tcW w:w="1587" w:type="dxa"/>
            <w:tcBorders>
              <w:top w:val="nil"/>
              <w:left w:val="nil"/>
              <w:bottom w:val="single" w:sz="4" w:space="0" w:color="auto"/>
              <w:right w:val="single" w:sz="4" w:space="0" w:color="auto"/>
            </w:tcBorders>
            <w:shd w:val="clear" w:color="auto" w:fill="auto"/>
            <w:noWrap/>
            <w:vAlign w:val="bottom"/>
            <w:hideMark/>
          </w:tcPr>
          <w:p w14:paraId="1C48BE44" w14:textId="0154C05E" w:rsidR="0094757B" w:rsidRPr="00DA5D29" w:rsidRDefault="00513015" w:rsidP="005762B1">
            <w:pPr>
              <w:spacing w:after="0" w:line="240" w:lineRule="auto"/>
              <w:jc w:val="center"/>
              <w:rPr>
                <w:rFonts w:ascii="Calibri" w:eastAsia="Times New Roman" w:hAnsi="Calibri" w:cs="Calibri"/>
                <w:b/>
                <w:bCs/>
                <w:color w:val="000000"/>
                <w:lang w:eastAsia="es-MX"/>
              </w:rPr>
            </w:pPr>
            <w:r>
              <w:rPr>
                <w:rFonts w:ascii="Calibri" w:eastAsia="Times New Roman" w:hAnsi="Calibri" w:cs="Calibri"/>
                <w:b/>
                <w:bCs/>
                <w:color w:val="000000"/>
                <w:lang w:eastAsia="es-MX"/>
              </w:rPr>
              <w:t>60,846,807.00</w:t>
            </w:r>
          </w:p>
        </w:tc>
        <w:tc>
          <w:tcPr>
            <w:tcW w:w="1587" w:type="dxa"/>
            <w:tcBorders>
              <w:top w:val="nil"/>
              <w:left w:val="nil"/>
              <w:bottom w:val="single" w:sz="4" w:space="0" w:color="auto"/>
              <w:right w:val="single" w:sz="4" w:space="0" w:color="auto"/>
            </w:tcBorders>
            <w:shd w:val="clear" w:color="auto" w:fill="auto"/>
            <w:noWrap/>
            <w:vAlign w:val="bottom"/>
            <w:hideMark/>
          </w:tcPr>
          <w:p w14:paraId="2DB7F711" w14:textId="2A34ADBA" w:rsidR="0094757B" w:rsidRPr="00DA5D29" w:rsidRDefault="0094757B" w:rsidP="005762B1">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w:t>
            </w:r>
            <w:r w:rsidR="00C23220">
              <w:rPr>
                <w:rFonts w:ascii="Calibri" w:eastAsia="Times New Roman" w:hAnsi="Calibri" w:cs="Calibri"/>
                <w:b/>
                <w:bCs/>
                <w:color w:val="000000"/>
                <w:lang w:eastAsia="es-MX"/>
              </w:rPr>
              <w:t>57,</w:t>
            </w:r>
            <w:r w:rsidR="00513015">
              <w:rPr>
                <w:rFonts w:ascii="Calibri" w:eastAsia="Times New Roman" w:hAnsi="Calibri" w:cs="Calibri"/>
                <w:b/>
                <w:bCs/>
                <w:color w:val="000000"/>
                <w:lang w:eastAsia="es-MX"/>
              </w:rPr>
              <w:t>572,312.00</w:t>
            </w:r>
            <w:r w:rsidRPr="00DA5D29">
              <w:rPr>
                <w:rFonts w:ascii="Calibri" w:eastAsia="Times New Roman" w:hAnsi="Calibri" w:cs="Calibri"/>
                <w:b/>
                <w:bCs/>
                <w:color w:val="000000"/>
                <w:lang w:eastAsia="es-MX"/>
              </w:rPr>
              <w:t xml:space="preserve"> </w:t>
            </w:r>
          </w:p>
        </w:tc>
      </w:tr>
    </w:tbl>
    <w:p w14:paraId="3C1DBDBD" w14:textId="77777777" w:rsidR="00C23220" w:rsidRDefault="00C23220" w:rsidP="0094757B">
      <w:pPr>
        <w:tabs>
          <w:tab w:val="left" w:pos="7215"/>
        </w:tabs>
        <w:jc w:val="both"/>
        <w:rPr>
          <w:rFonts w:ascii="Arial" w:hAnsi="Arial" w:cs="Arial"/>
        </w:rPr>
      </w:pPr>
    </w:p>
    <w:p w14:paraId="3E927D80" w14:textId="1EBFB8B5" w:rsidR="0094757B" w:rsidRDefault="0094757B" w:rsidP="0094757B">
      <w:pPr>
        <w:tabs>
          <w:tab w:val="left" w:pos="7215"/>
        </w:tabs>
        <w:jc w:val="both"/>
        <w:rPr>
          <w:rFonts w:ascii="Arial" w:hAnsi="Arial" w:cs="Arial"/>
        </w:rPr>
      </w:pPr>
      <w:r w:rsidRPr="007D167D">
        <w:rPr>
          <w:rFonts w:ascii="Arial" w:hAnsi="Arial" w:cs="Arial"/>
        </w:rPr>
        <w:t>b). - Proyección de la recaudación e ingresos en mediano plazo, siendo este:</w:t>
      </w:r>
    </w:p>
    <w:p w14:paraId="3ED2C3F4" w14:textId="77777777" w:rsidR="0094757B" w:rsidRPr="007D167D" w:rsidRDefault="0094757B" w:rsidP="0094757B">
      <w:pPr>
        <w:tabs>
          <w:tab w:val="left" w:pos="7215"/>
        </w:tabs>
        <w:jc w:val="center"/>
        <w:rPr>
          <w:rFonts w:ascii="Arial" w:hAnsi="Arial" w:cs="Arial"/>
          <w:b/>
        </w:rPr>
      </w:pPr>
      <w:r w:rsidRPr="007D167D">
        <w:rPr>
          <w:noProof/>
        </w:rPr>
        <w:drawing>
          <wp:inline distT="0" distB="0" distL="0" distR="0" wp14:anchorId="04EFB963" wp14:editId="607878EA">
            <wp:extent cx="5876925" cy="299336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4920" cy="3007625"/>
                    </a:xfrm>
                    <a:prstGeom prst="rect">
                      <a:avLst/>
                    </a:prstGeom>
                  </pic:spPr>
                </pic:pic>
              </a:graphicData>
            </a:graphic>
          </wp:inline>
        </w:drawing>
      </w:r>
    </w:p>
    <w:p w14:paraId="742BCEC2" w14:textId="77777777" w:rsidR="0094757B" w:rsidRPr="007D167D" w:rsidRDefault="0094757B" w:rsidP="0094757B">
      <w:pPr>
        <w:tabs>
          <w:tab w:val="left" w:pos="7215"/>
        </w:tabs>
        <w:jc w:val="both"/>
        <w:rPr>
          <w:rFonts w:ascii="Arial" w:hAnsi="Arial" w:cs="Arial"/>
          <w:b/>
        </w:rPr>
      </w:pPr>
      <w:r w:rsidRPr="007D167D">
        <w:rPr>
          <w:rFonts w:ascii="Arial" w:hAnsi="Arial" w:cs="Arial"/>
          <w:b/>
        </w:rPr>
        <w:t>11.-Información sobre la Deuda y el Reporte Analítico de la Deuda.</w:t>
      </w:r>
    </w:p>
    <w:p w14:paraId="4FA7D892" w14:textId="77777777" w:rsidR="0094757B" w:rsidRDefault="0094757B" w:rsidP="0094757B">
      <w:pPr>
        <w:tabs>
          <w:tab w:val="left" w:pos="7215"/>
        </w:tabs>
        <w:jc w:val="both"/>
        <w:rPr>
          <w:rFonts w:ascii="Arial" w:eastAsia="Times New Roman" w:hAnsi="Arial" w:cs="Arial"/>
          <w:color w:val="000000"/>
          <w:lang w:eastAsia="es-MX"/>
        </w:rPr>
      </w:pPr>
      <w:r w:rsidRPr="007D167D">
        <w:rPr>
          <w:rFonts w:ascii="Arial" w:eastAsia="Times New Roman" w:hAnsi="Arial" w:cs="Arial"/>
          <w:color w:val="000000"/>
          <w:lang w:eastAsia="es-MX"/>
        </w:rPr>
        <w:t>El Instituto Tecnológico Superior de Puerto Peñasco no se encuentra en el supuesto de este apartado.</w:t>
      </w:r>
    </w:p>
    <w:p w14:paraId="7CBC38DB" w14:textId="77777777" w:rsidR="0094757B" w:rsidRDefault="0094757B" w:rsidP="0094757B">
      <w:pPr>
        <w:tabs>
          <w:tab w:val="left" w:pos="7215"/>
        </w:tabs>
        <w:jc w:val="both"/>
        <w:rPr>
          <w:rFonts w:ascii="Arial" w:hAnsi="Arial" w:cs="Arial"/>
          <w:b/>
        </w:rPr>
      </w:pPr>
    </w:p>
    <w:p w14:paraId="3C8F5B8E" w14:textId="536A11FD" w:rsidR="0094757B" w:rsidRPr="007D167D" w:rsidRDefault="0094757B" w:rsidP="0094757B">
      <w:pPr>
        <w:tabs>
          <w:tab w:val="left" w:pos="7215"/>
        </w:tabs>
        <w:jc w:val="both"/>
        <w:rPr>
          <w:rFonts w:ascii="Arial" w:hAnsi="Arial" w:cs="Arial"/>
          <w:b/>
        </w:rPr>
      </w:pPr>
      <w:r w:rsidRPr="007D167D">
        <w:rPr>
          <w:rFonts w:ascii="Arial" w:hAnsi="Arial" w:cs="Arial"/>
          <w:b/>
        </w:rPr>
        <w:t>12.-Calificaciones otorgadas.</w:t>
      </w:r>
    </w:p>
    <w:p w14:paraId="62B82628" w14:textId="5DD9E2A7" w:rsidR="0094757B" w:rsidRDefault="0094757B" w:rsidP="0094757B">
      <w:pPr>
        <w:tabs>
          <w:tab w:val="left" w:pos="7215"/>
        </w:tabs>
        <w:jc w:val="both"/>
        <w:rPr>
          <w:rFonts w:ascii="Arial" w:eastAsia="Times New Roman" w:hAnsi="Arial" w:cs="Arial"/>
          <w:color w:val="000000"/>
          <w:lang w:eastAsia="es-MX"/>
        </w:rPr>
      </w:pPr>
      <w:r w:rsidRPr="007D167D">
        <w:rPr>
          <w:rFonts w:ascii="Arial" w:eastAsia="Times New Roman" w:hAnsi="Arial" w:cs="Arial"/>
          <w:color w:val="000000"/>
          <w:lang w:eastAsia="es-MX"/>
        </w:rPr>
        <w:t>El Instituto Tecnológico Superior de Puerto Peñasco no se encuentra en el supuesto de este apartado.</w:t>
      </w:r>
    </w:p>
    <w:p w14:paraId="6B9B69F3" w14:textId="641FF749" w:rsidR="0094757B" w:rsidRPr="007D167D" w:rsidRDefault="0094757B" w:rsidP="0094757B">
      <w:pPr>
        <w:tabs>
          <w:tab w:val="left" w:pos="7215"/>
        </w:tabs>
        <w:jc w:val="both"/>
        <w:rPr>
          <w:rFonts w:ascii="Arial" w:hAnsi="Arial" w:cs="Arial"/>
          <w:b/>
        </w:rPr>
      </w:pPr>
      <w:r w:rsidRPr="007D167D">
        <w:rPr>
          <w:rFonts w:ascii="Arial" w:hAnsi="Arial" w:cs="Arial"/>
          <w:b/>
        </w:rPr>
        <w:lastRenderedPageBreak/>
        <w:t>13.-</w:t>
      </w:r>
      <w:r w:rsidRPr="007D167D">
        <w:t xml:space="preserve"> </w:t>
      </w:r>
      <w:r w:rsidRPr="007D167D">
        <w:rPr>
          <w:rFonts w:ascii="Arial" w:hAnsi="Arial" w:cs="Arial"/>
          <w:b/>
        </w:rPr>
        <w:t>Proceso de Mejora.</w:t>
      </w:r>
    </w:p>
    <w:p w14:paraId="443C7122" w14:textId="77777777" w:rsidR="0094757B" w:rsidRPr="007D167D" w:rsidRDefault="0094757B" w:rsidP="0094757B">
      <w:pPr>
        <w:tabs>
          <w:tab w:val="left" w:pos="7215"/>
        </w:tabs>
        <w:jc w:val="both"/>
        <w:rPr>
          <w:rFonts w:ascii="Arial" w:hAnsi="Arial" w:cs="Arial"/>
        </w:rPr>
      </w:pPr>
      <w:r w:rsidRPr="007D167D">
        <w:rPr>
          <w:rFonts w:ascii="Arial" w:hAnsi="Arial" w:cs="Arial"/>
        </w:rPr>
        <w:t>El Instituto Tecnológico Superior de Puerto Peñasco se rige mediante la aplicación de los siguientes:</w:t>
      </w:r>
    </w:p>
    <w:p w14:paraId="5DCD07E1" w14:textId="77777777" w:rsidR="0094757B" w:rsidRPr="007D167D" w:rsidRDefault="0094757B" w:rsidP="0094757B">
      <w:pPr>
        <w:pStyle w:val="Prrafodelista"/>
        <w:numPr>
          <w:ilvl w:val="0"/>
          <w:numId w:val="8"/>
        </w:numPr>
        <w:tabs>
          <w:tab w:val="left" w:pos="7215"/>
        </w:tabs>
        <w:jc w:val="both"/>
        <w:rPr>
          <w:rFonts w:ascii="Arial" w:hAnsi="Arial" w:cs="Arial"/>
        </w:rPr>
      </w:pPr>
      <w:r w:rsidRPr="007D167D">
        <w:rPr>
          <w:rFonts w:ascii="Arial" w:hAnsi="Arial" w:cs="Arial"/>
        </w:rPr>
        <w:t>Políticas establecidas en el Decreto No. 92 del Presupuesto de Egresos Gobierno del Estado para el del Ejercicio Fiscal 2022.</w:t>
      </w:r>
    </w:p>
    <w:p w14:paraId="1DB43D79" w14:textId="797E793D" w:rsidR="0094757B" w:rsidRPr="007D167D" w:rsidRDefault="0094757B" w:rsidP="0094757B">
      <w:pPr>
        <w:pStyle w:val="Prrafodelista"/>
        <w:numPr>
          <w:ilvl w:val="0"/>
          <w:numId w:val="8"/>
        </w:numPr>
        <w:tabs>
          <w:tab w:val="left" w:pos="7215"/>
        </w:tabs>
        <w:jc w:val="both"/>
        <w:rPr>
          <w:rFonts w:ascii="Arial" w:hAnsi="Arial" w:cs="Arial"/>
        </w:rPr>
      </w:pPr>
      <w:r w:rsidRPr="007D167D">
        <w:rPr>
          <w:rFonts w:ascii="Arial" w:hAnsi="Arial" w:cs="Arial"/>
        </w:rPr>
        <w:t>Lineamientos que establece el Instituto Sonorense de Transparencia Acceso a la Información Pública y Protección de datos Personales (ISTAI); ámbito de transparencia</w:t>
      </w:r>
      <w:r w:rsidRPr="007D167D">
        <w:t>.</w:t>
      </w:r>
    </w:p>
    <w:p w14:paraId="26A712AA" w14:textId="77777777" w:rsidR="0094757B" w:rsidRPr="007D167D" w:rsidRDefault="0094757B" w:rsidP="0094757B">
      <w:pPr>
        <w:pStyle w:val="Prrafodelista"/>
        <w:numPr>
          <w:ilvl w:val="0"/>
          <w:numId w:val="8"/>
        </w:numPr>
        <w:tabs>
          <w:tab w:val="left" w:pos="7215"/>
        </w:tabs>
        <w:jc w:val="both"/>
        <w:rPr>
          <w:rFonts w:ascii="Arial" w:hAnsi="Arial" w:cs="Arial"/>
        </w:rPr>
      </w:pPr>
      <w:r w:rsidRPr="007D167D">
        <w:rPr>
          <w:rFonts w:ascii="Arial" w:hAnsi="Arial" w:cs="Arial"/>
        </w:rPr>
        <w:t>Proceso del Sistema de Gestión de la Calidad Norma ISO 9001:2015</w:t>
      </w:r>
    </w:p>
    <w:p w14:paraId="7283D713" w14:textId="77777777" w:rsidR="0094757B" w:rsidRPr="007D167D" w:rsidRDefault="0094757B" w:rsidP="0094757B">
      <w:pPr>
        <w:pStyle w:val="Prrafodelista"/>
        <w:numPr>
          <w:ilvl w:val="0"/>
          <w:numId w:val="8"/>
        </w:numPr>
        <w:tabs>
          <w:tab w:val="left" w:pos="7215"/>
        </w:tabs>
        <w:jc w:val="both"/>
        <w:rPr>
          <w:rFonts w:ascii="Arial" w:hAnsi="Arial" w:cs="Arial"/>
        </w:rPr>
      </w:pPr>
      <w:r w:rsidRPr="007D167D">
        <w:rPr>
          <w:rFonts w:ascii="Arial" w:hAnsi="Arial" w:cs="Arial"/>
        </w:rPr>
        <w:t>Reglamento de Ingresos Propios del ITSPP.</w:t>
      </w:r>
    </w:p>
    <w:p w14:paraId="72308296" w14:textId="77777777" w:rsidR="0094757B" w:rsidRDefault="0094757B" w:rsidP="0094757B">
      <w:pPr>
        <w:pStyle w:val="Prrafodelista"/>
        <w:tabs>
          <w:tab w:val="left" w:pos="7215"/>
        </w:tabs>
        <w:jc w:val="both"/>
        <w:rPr>
          <w:rFonts w:ascii="Arial" w:hAnsi="Arial" w:cs="Arial"/>
        </w:rPr>
      </w:pPr>
    </w:p>
    <w:p w14:paraId="3162008C" w14:textId="77777777" w:rsidR="0094757B" w:rsidRPr="007D167D" w:rsidRDefault="0094757B" w:rsidP="0094757B">
      <w:pPr>
        <w:tabs>
          <w:tab w:val="left" w:pos="7215"/>
        </w:tabs>
        <w:jc w:val="both"/>
        <w:rPr>
          <w:rFonts w:ascii="Arial" w:hAnsi="Arial" w:cs="Arial"/>
          <w:b/>
        </w:rPr>
      </w:pPr>
      <w:r w:rsidRPr="007D167D">
        <w:rPr>
          <w:rFonts w:ascii="Arial" w:hAnsi="Arial" w:cs="Arial"/>
          <w:b/>
        </w:rPr>
        <w:t>14.-Información por segmentos.</w:t>
      </w:r>
    </w:p>
    <w:p w14:paraId="17BBCABC" w14:textId="77777777" w:rsidR="0094757B" w:rsidRDefault="0094757B" w:rsidP="0094757B">
      <w:pPr>
        <w:tabs>
          <w:tab w:val="left" w:pos="7215"/>
        </w:tabs>
        <w:jc w:val="both"/>
        <w:rPr>
          <w:rFonts w:ascii="Arial" w:hAnsi="Arial" w:cs="Arial"/>
        </w:rPr>
      </w:pPr>
      <w:r w:rsidRPr="007D167D">
        <w:rPr>
          <w:rFonts w:ascii="Arial" w:hAnsi="Arial" w:cs="Arial"/>
        </w:rPr>
        <w:t>El Instituto Tecnológico Superior de Puerto Peñasco no se encuentra en el supuesto de este apartado, debido a que no se cuenta con extensiones en otras áreas geográficas del Estado.</w:t>
      </w:r>
    </w:p>
    <w:p w14:paraId="1A5D59E7" w14:textId="77777777" w:rsidR="0094757B" w:rsidRDefault="0094757B" w:rsidP="0094757B">
      <w:pPr>
        <w:tabs>
          <w:tab w:val="left" w:pos="7215"/>
        </w:tabs>
        <w:jc w:val="both"/>
        <w:rPr>
          <w:rFonts w:ascii="Arial" w:hAnsi="Arial" w:cs="Arial"/>
        </w:rPr>
      </w:pPr>
    </w:p>
    <w:p w14:paraId="07E79022" w14:textId="77777777" w:rsidR="0094757B" w:rsidRPr="007D167D" w:rsidRDefault="0094757B" w:rsidP="0094757B">
      <w:pPr>
        <w:tabs>
          <w:tab w:val="left" w:pos="7215"/>
        </w:tabs>
        <w:jc w:val="both"/>
        <w:rPr>
          <w:rFonts w:ascii="Arial" w:hAnsi="Arial" w:cs="Arial"/>
          <w:b/>
        </w:rPr>
      </w:pPr>
      <w:r w:rsidRPr="007D167D">
        <w:rPr>
          <w:rFonts w:ascii="Arial" w:hAnsi="Arial" w:cs="Arial"/>
          <w:b/>
        </w:rPr>
        <w:t>15.-Evento Posteriores al cierre.</w:t>
      </w:r>
    </w:p>
    <w:p w14:paraId="599115C2" w14:textId="77777777" w:rsidR="0094757B" w:rsidRDefault="0094757B" w:rsidP="0094757B">
      <w:pPr>
        <w:tabs>
          <w:tab w:val="left" w:pos="7215"/>
        </w:tabs>
        <w:jc w:val="both"/>
        <w:rPr>
          <w:rFonts w:ascii="Arial" w:hAnsi="Arial" w:cs="Arial"/>
        </w:rPr>
      </w:pPr>
      <w:r w:rsidRPr="007D167D">
        <w:rPr>
          <w:rFonts w:ascii="Arial" w:hAnsi="Arial" w:cs="Arial"/>
        </w:rPr>
        <w:t xml:space="preserve">El Instituto Tecnológico Superior de Puerto Peñasco no se encuentra en el supuesto de este apartado, </w:t>
      </w:r>
      <w:r>
        <w:rPr>
          <w:rFonts w:ascii="Arial" w:hAnsi="Arial" w:cs="Arial"/>
        </w:rPr>
        <w:t>ya que</w:t>
      </w:r>
      <w:r w:rsidRPr="007D167D">
        <w:rPr>
          <w:rFonts w:ascii="Arial" w:hAnsi="Arial" w:cs="Arial"/>
        </w:rPr>
        <w:t xml:space="preserve"> no se identificaron eventos posteriores </w:t>
      </w:r>
      <w:r>
        <w:rPr>
          <w:rFonts w:ascii="Arial" w:hAnsi="Arial" w:cs="Arial"/>
        </w:rPr>
        <w:t>a</w:t>
      </w:r>
      <w:r w:rsidRPr="007D167D">
        <w:rPr>
          <w:rFonts w:ascii="Arial" w:hAnsi="Arial" w:cs="Arial"/>
        </w:rPr>
        <w:t>l cierre del ejercicio 2023.</w:t>
      </w:r>
    </w:p>
    <w:p w14:paraId="2DFC902A" w14:textId="77777777" w:rsidR="0094757B" w:rsidRPr="007D167D" w:rsidRDefault="0094757B" w:rsidP="0094757B">
      <w:pPr>
        <w:tabs>
          <w:tab w:val="left" w:pos="7215"/>
        </w:tabs>
        <w:jc w:val="both"/>
        <w:rPr>
          <w:rFonts w:ascii="Arial" w:hAnsi="Arial" w:cs="Arial"/>
        </w:rPr>
      </w:pPr>
    </w:p>
    <w:p w14:paraId="4D33692F" w14:textId="77777777" w:rsidR="0094757B" w:rsidRPr="007D167D" w:rsidRDefault="0094757B" w:rsidP="0094757B">
      <w:pPr>
        <w:tabs>
          <w:tab w:val="left" w:pos="7215"/>
        </w:tabs>
        <w:jc w:val="both"/>
        <w:rPr>
          <w:rFonts w:ascii="Arial" w:hAnsi="Arial" w:cs="Arial"/>
          <w:b/>
        </w:rPr>
      </w:pPr>
      <w:r w:rsidRPr="007D167D">
        <w:rPr>
          <w:rFonts w:ascii="Arial" w:hAnsi="Arial" w:cs="Arial"/>
          <w:b/>
        </w:rPr>
        <w:t>16.- Partes Relacionadas.</w:t>
      </w:r>
    </w:p>
    <w:p w14:paraId="48570651" w14:textId="77777777" w:rsidR="0094757B" w:rsidRDefault="0094757B" w:rsidP="0094757B">
      <w:pPr>
        <w:tabs>
          <w:tab w:val="left" w:pos="7215"/>
        </w:tabs>
        <w:jc w:val="both"/>
        <w:rPr>
          <w:rFonts w:ascii="Arial" w:hAnsi="Arial" w:cs="Arial"/>
        </w:rPr>
      </w:pPr>
      <w:r w:rsidRPr="007D167D">
        <w:rPr>
          <w:rFonts w:ascii="Arial" w:hAnsi="Arial" w:cs="Arial"/>
        </w:rPr>
        <w:t>El Instituto Tecnológico Superior de Puerto Peñasco no se encuentra en el supuesto de este apartado, debido a no existen registros de operación con partes relacionadas.</w:t>
      </w:r>
    </w:p>
    <w:p w14:paraId="2EDF3CDA" w14:textId="77777777" w:rsidR="0094757B" w:rsidRPr="007D167D" w:rsidRDefault="0094757B" w:rsidP="0094757B">
      <w:pPr>
        <w:tabs>
          <w:tab w:val="left" w:pos="7215"/>
        </w:tabs>
        <w:jc w:val="both"/>
        <w:rPr>
          <w:rFonts w:ascii="Arial" w:hAnsi="Arial" w:cs="Arial"/>
        </w:rPr>
      </w:pPr>
    </w:p>
    <w:p w14:paraId="452E3370" w14:textId="77777777" w:rsidR="0094757B" w:rsidRPr="007D167D" w:rsidRDefault="0094757B" w:rsidP="0094757B">
      <w:pPr>
        <w:tabs>
          <w:tab w:val="left" w:pos="7215"/>
        </w:tabs>
        <w:jc w:val="both"/>
        <w:rPr>
          <w:rFonts w:ascii="Arial" w:hAnsi="Arial" w:cs="Arial"/>
          <w:b/>
        </w:rPr>
      </w:pPr>
      <w:r w:rsidRPr="007D167D">
        <w:rPr>
          <w:rFonts w:ascii="Arial" w:hAnsi="Arial" w:cs="Arial"/>
          <w:b/>
        </w:rPr>
        <w:t>17.- Responsabilidad sobre la presentación de los Estados Financieros</w:t>
      </w:r>
    </w:p>
    <w:p w14:paraId="18782B07" w14:textId="77777777" w:rsidR="0094757B" w:rsidRPr="007D167D" w:rsidRDefault="0094757B" w:rsidP="0094757B">
      <w:pPr>
        <w:tabs>
          <w:tab w:val="left" w:pos="7215"/>
        </w:tabs>
        <w:jc w:val="both"/>
        <w:rPr>
          <w:rFonts w:ascii="Arial" w:hAnsi="Arial" w:cs="Arial"/>
          <w:b/>
        </w:rPr>
      </w:pPr>
      <w:r w:rsidRPr="007D167D">
        <w:rPr>
          <w:rFonts w:ascii="Arial" w:hAnsi="Arial" w:cs="Arial"/>
          <w:b/>
        </w:rPr>
        <w:t>“Bajo protesta de decir verdad declaramos que los Estados Financieros y sus notas, son razonablemente correctos y son responsabilidad del emisor”.</w:t>
      </w:r>
    </w:p>
    <w:p w14:paraId="55176F21" w14:textId="77777777" w:rsidR="0094757B" w:rsidRPr="007D167D" w:rsidRDefault="0094757B" w:rsidP="0094757B">
      <w:pPr>
        <w:tabs>
          <w:tab w:val="left" w:pos="7215"/>
        </w:tabs>
        <w:jc w:val="both"/>
        <w:rPr>
          <w:rFonts w:ascii="Arial" w:hAnsi="Arial" w:cs="Arial"/>
          <w:b/>
        </w:rPr>
      </w:pPr>
    </w:p>
    <w:p w14:paraId="6BD8C51D" w14:textId="77777777" w:rsidR="0094757B" w:rsidRPr="007D167D" w:rsidRDefault="0094757B" w:rsidP="0094757B">
      <w:pPr>
        <w:tabs>
          <w:tab w:val="left" w:pos="7215"/>
        </w:tabs>
        <w:jc w:val="both"/>
        <w:rPr>
          <w:rFonts w:ascii="Arial" w:hAnsi="Arial" w:cs="Arial"/>
          <w:b/>
        </w:rPr>
      </w:pPr>
    </w:p>
    <w:p w14:paraId="760ED504" w14:textId="77777777" w:rsidR="0094757B" w:rsidRPr="007D167D" w:rsidRDefault="0094757B" w:rsidP="0094757B">
      <w:pPr>
        <w:tabs>
          <w:tab w:val="left" w:pos="7215"/>
        </w:tabs>
        <w:jc w:val="both"/>
        <w:rPr>
          <w:rFonts w:ascii="Arial" w:hAnsi="Arial" w:cs="Arial"/>
          <w:b/>
        </w:rPr>
      </w:pPr>
    </w:p>
    <w:p w14:paraId="320EFD34" w14:textId="77777777" w:rsidR="0094757B" w:rsidRDefault="0094757B" w:rsidP="0094757B">
      <w:pPr>
        <w:tabs>
          <w:tab w:val="left" w:pos="7215"/>
        </w:tabs>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42"/>
        <w:gridCol w:w="2943"/>
        <w:gridCol w:w="2943"/>
      </w:tblGrid>
      <w:tr w:rsidR="0094757B" w:rsidRPr="007205E1" w14:paraId="5311749A" w14:textId="77777777" w:rsidTr="005762B1">
        <w:tc>
          <w:tcPr>
            <w:tcW w:w="2942" w:type="dxa"/>
          </w:tcPr>
          <w:p w14:paraId="04148C63" w14:textId="47F8AEFF" w:rsidR="0094757B" w:rsidRPr="00596F4C" w:rsidRDefault="0094757B" w:rsidP="005762B1">
            <w:pPr>
              <w:tabs>
                <w:tab w:val="left" w:pos="7215"/>
              </w:tabs>
              <w:jc w:val="both"/>
              <w:rPr>
                <w:rFonts w:ascii="Arial" w:hAnsi="Arial" w:cs="Arial"/>
                <w:b/>
                <w:sz w:val="16"/>
                <w:szCs w:val="16"/>
              </w:rPr>
            </w:pPr>
          </w:p>
        </w:tc>
        <w:tc>
          <w:tcPr>
            <w:tcW w:w="2943" w:type="dxa"/>
          </w:tcPr>
          <w:p w14:paraId="235A52EF" w14:textId="67BE58A5" w:rsidR="0094757B" w:rsidRPr="00596F4C" w:rsidRDefault="0094757B" w:rsidP="005762B1">
            <w:pPr>
              <w:tabs>
                <w:tab w:val="left" w:pos="7215"/>
              </w:tabs>
              <w:jc w:val="both"/>
              <w:rPr>
                <w:rFonts w:ascii="Arial" w:hAnsi="Arial" w:cs="Arial"/>
                <w:b/>
                <w:sz w:val="16"/>
                <w:szCs w:val="16"/>
              </w:rPr>
            </w:pPr>
          </w:p>
        </w:tc>
        <w:tc>
          <w:tcPr>
            <w:tcW w:w="2943" w:type="dxa"/>
          </w:tcPr>
          <w:p w14:paraId="5B2C71AA" w14:textId="77777777" w:rsidR="0094757B" w:rsidRPr="00596F4C" w:rsidRDefault="0094757B" w:rsidP="005762B1">
            <w:pPr>
              <w:tabs>
                <w:tab w:val="left" w:pos="7215"/>
              </w:tabs>
              <w:jc w:val="both"/>
              <w:rPr>
                <w:rFonts w:ascii="Arial" w:hAnsi="Arial" w:cs="Arial"/>
                <w:b/>
                <w:sz w:val="16"/>
                <w:szCs w:val="16"/>
              </w:rPr>
            </w:pPr>
          </w:p>
        </w:tc>
      </w:tr>
      <w:tr w:rsidR="0094757B" w:rsidRPr="007205E1" w14:paraId="10C25A35" w14:textId="77777777" w:rsidTr="005762B1">
        <w:tblPrEx>
          <w:tblCellMar>
            <w:left w:w="108" w:type="dxa"/>
            <w:right w:w="108" w:type="dxa"/>
          </w:tblCellMar>
        </w:tblPrEx>
        <w:tc>
          <w:tcPr>
            <w:tcW w:w="2942" w:type="dxa"/>
          </w:tcPr>
          <w:p w14:paraId="5FB31CB9" w14:textId="395EA02F" w:rsidR="0094757B" w:rsidRPr="00596F4C" w:rsidRDefault="0094757B" w:rsidP="005762B1">
            <w:pPr>
              <w:pStyle w:val="NormalWeb"/>
              <w:spacing w:before="0" w:beforeAutospacing="0" w:after="0" w:afterAutospacing="0"/>
              <w:rPr>
                <w:rFonts w:ascii="Arial" w:hAnsi="Arial" w:cs="Arial"/>
                <w:color w:val="000000" w:themeColor="text1"/>
                <w:sz w:val="16"/>
                <w:szCs w:val="16"/>
              </w:rPr>
            </w:pPr>
            <w:r w:rsidRPr="005E7D30">
              <w:rPr>
                <w:noProof/>
              </w:rPr>
              <mc:AlternateContent>
                <mc:Choice Requires="wps">
                  <w:drawing>
                    <wp:anchor distT="0" distB="0" distL="114300" distR="114300" simplePos="0" relativeHeight="251662336" behindDoc="0" locked="0" layoutInCell="1" allowOverlap="1" wp14:anchorId="700D8685" wp14:editId="32E1CC43">
                      <wp:simplePos x="0" y="0"/>
                      <wp:positionH relativeFrom="column">
                        <wp:posOffset>-26035</wp:posOffset>
                      </wp:positionH>
                      <wp:positionV relativeFrom="paragraph">
                        <wp:posOffset>-183515</wp:posOffset>
                      </wp:positionV>
                      <wp:extent cx="2121408" cy="1000125"/>
                      <wp:effectExtent l="0" t="0" r="0" b="9525"/>
                      <wp:wrapNone/>
                      <wp:docPr id="15" name="CuadroTexto 14">
                        <a:extLst xmlns:a="http://schemas.openxmlformats.org/drawingml/2006/main">
                          <a:ext uri="{FF2B5EF4-FFF2-40B4-BE49-F238E27FC236}">
                            <a16:creationId xmlns:a16="http://schemas.microsoft.com/office/drawing/2014/main" id="{BC0D6387-7D71-4940-AB9D-6E530528E79A}"/>
                          </a:ext>
                        </a:extLst>
                      </wp:docPr>
                      <wp:cNvGraphicFramePr/>
                      <a:graphic xmlns:a="http://schemas.openxmlformats.org/drawingml/2006/main">
                        <a:graphicData uri="http://schemas.microsoft.com/office/word/2010/wordprocessingShape">
                          <wps:wsp>
                            <wps:cNvSpPr txBox="1"/>
                            <wps:spPr>
                              <a:xfrm>
                                <a:off x="0" y="0"/>
                                <a:ext cx="2121408" cy="1000125"/>
                              </a:xfrm>
                              <a:prstGeom prst="rect">
                                <a:avLst/>
                              </a:prstGeom>
                              <a:noFill/>
                              <a:ln>
                                <a:noFill/>
                              </a:ln>
                              <a:effectLst/>
                            </wps:spPr>
                            <wps:txbx>
                              <w:txbxContent>
                                <w:p w14:paraId="48CDC084" w14:textId="77777777" w:rsidR="0094757B" w:rsidRDefault="0094757B" w:rsidP="0094757B">
                                  <w:pPr>
                                    <w:pStyle w:val="NormalWeb"/>
                                    <w:spacing w:before="0" w:beforeAutospacing="0" w:after="0" w:afterAutospacing="0"/>
                                    <w:jc w:val="center"/>
                                  </w:pPr>
                                  <w:r>
                                    <w:rPr>
                                      <w:rFonts w:ascii="Calibri" w:hAnsi="Calibri" w:cstheme="minorBidi"/>
                                      <w:color w:val="000000"/>
                                      <w:sz w:val="20"/>
                                      <w:szCs w:val="20"/>
                                    </w:rPr>
                                    <w:t xml:space="preserve">     ______________________________</w:t>
                                  </w:r>
                                </w:p>
                                <w:p w14:paraId="185F6338"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L.</w:t>
                                  </w:r>
                                  <w:r>
                                    <w:rPr>
                                      <w:rFonts w:ascii="Calibri" w:hAnsi="Calibri" w:cstheme="minorBidi"/>
                                      <w:color w:val="000000"/>
                                      <w:sz w:val="18"/>
                                      <w:szCs w:val="20"/>
                                    </w:rPr>
                                    <w:t>C.P. David Alejandro Soto Grijalva</w:t>
                                  </w:r>
                                  <w:r w:rsidRPr="005E7D30">
                                    <w:rPr>
                                      <w:rFonts w:ascii="Calibri" w:hAnsi="Calibri" w:cstheme="minorBidi"/>
                                      <w:color w:val="000000"/>
                                      <w:sz w:val="18"/>
                                      <w:szCs w:val="20"/>
                                    </w:rPr>
                                    <w:t>.</w:t>
                                  </w:r>
                                </w:p>
                                <w:p w14:paraId="1E6E17F7"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Departamento de Recursos Financieros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00D8685" id="_x0000_t202" coordsize="21600,21600" o:spt="202" path="m,l,21600r21600,l21600,xe">
                      <v:stroke joinstyle="miter"/>
                      <v:path gradientshapeok="t" o:connecttype="rect"/>
                    </v:shapetype>
                    <v:shape id="CuadroTexto 14" o:spid="_x0000_s1026" type="#_x0000_t202" style="position:absolute;margin-left:-2.05pt;margin-top:-14.45pt;width:167.0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" filled="f" stroked="f">
                      <v:textbox>
                        <w:txbxContent>
                          <w:p w14:paraId="48CDC084" w14:textId="77777777" w:rsidR="0094757B" w:rsidRDefault="0094757B" w:rsidP="0094757B">
                            <w:pPr>
                              <w:pStyle w:val="NormalWeb"/>
                              <w:spacing w:before="0" w:beforeAutospacing="0" w:after="0" w:afterAutospacing="0"/>
                              <w:jc w:val="center"/>
                            </w:pPr>
                            <w:r>
                              <w:rPr>
                                <w:rFonts w:ascii="Calibri" w:hAnsi="Calibri" w:cstheme="minorBidi"/>
                                <w:color w:val="000000"/>
                                <w:sz w:val="20"/>
                                <w:szCs w:val="20"/>
                              </w:rPr>
                              <w:t xml:space="preserve">     ______________________________</w:t>
                            </w:r>
                          </w:p>
                          <w:p w14:paraId="185F6338"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L.</w:t>
                            </w:r>
                            <w:r>
                              <w:rPr>
                                <w:rFonts w:ascii="Calibri" w:hAnsi="Calibri" w:cstheme="minorBidi"/>
                                <w:color w:val="000000"/>
                                <w:sz w:val="18"/>
                                <w:szCs w:val="20"/>
                              </w:rPr>
                              <w:t>C.P. David Alejandro Soto Grijalva</w:t>
                            </w:r>
                            <w:r w:rsidRPr="005E7D30">
                              <w:rPr>
                                <w:rFonts w:ascii="Calibri" w:hAnsi="Calibri" w:cstheme="minorBidi"/>
                                <w:color w:val="000000"/>
                                <w:sz w:val="18"/>
                                <w:szCs w:val="20"/>
                              </w:rPr>
                              <w:t>.</w:t>
                            </w:r>
                          </w:p>
                          <w:p w14:paraId="1E6E17F7"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Departamento de Recursos Financieros</w:t>
                            </w:r>
                          </w:p>
                        </w:txbxContent>
                      </v:textbox>
                    </v:shape>
                  </w:pict>
                </mc:Fallback>
              </mc:AlternateContent>
            </w:r>
          </w:p>
        </w:tc>
        <w:tc>
          <w:tcPr>
            <w:tcW w:w="2943" w:type="dxa"/>
          </w:tcPr>
          <w:p w14:paraId="7561CACF" w14:textId="77777777" w:rsidR="0094757B" w:rsidRPr="00596F4C" w:rsidRDefault="0094757B" w:rsidP="005762B1">
            <w:pPr>
              <w:pStyle w:val="NormalWeb"/>
              <w:spacing w:before="0" w:beforeAutospacing="0" w:after="0" w:afterAutospacing="0"/>
              <w:jc w:val="center"/>
              <w:rPr>
                <w:rFonts w:ascii="Arial" w:hAnsi="Arial" w:cs="Arial"/>
                <w:color w:val="000000" w:themeColor="text1"/>
                <w:sz w:val="16"/>
                <w:szCs w:val="16"/>
              </w:rPr>
            </w:pPr>
          </w:p>
        </w:tc>
        <w:tc>
          <w:tcPr>
            <w:tcW w:w="2943" w:type="dxa"/>
          </w:tcPr>
          <w:p w14:paraId="43AE4CBA" w14:textId="77777777" w:rsidR="0094757B" w:rsidRPr="00596F4C" w:rsidRDefault="0094757B" w:rsidP="005762B1">
            <w:pPr>
              <w:pStyle w:val="NormalWeb"/>
              <w:spacing w:before="0" w:beforeAutospacing="0" w:after="0" w:afterAutospacing="0"/>
              <w:jc w:val="center"/>
              <w:rPr>
                <w:rFonts w:ascii="Arial" w:hAnsi="Arial" w:cs="Arial"/>
                <w:color w:val="000000" w:themeColor="text1"/>
                <w:sz w:val="16"/>
                <w:szCs w:val="16"/>
              </w:rPr>
            </w:pPr>
            <w:r w:rsidRPr="005E7D30">
              <w:rPr>
                <w:noProof/>
              </w:rPr>
              <mc:AlternateContent>
                <mc:Choice Requires="wps">
                  <w:drawing>
                    <wp:anchor distT="0" distB="0" distL="114300" distR="114300" simplePos="0" relativeHeight="251661312" behindDoc="0" locked="0" layoutInCell="1" allowOverlap="1" wp14:anchorId="459C1E3E" wp14:editId="6C19AA70">
                      <wp:simplePos x="0" y="0"/>
                      <wp:positionH relativeFrom="column">
                        <wp:posOffset>-1715135</wp:posOffset>
                      </wp:positionH>
                      <wp:positionV relativeFrom="paragraph">
                        <wp:posOffset>-12065</wp:posOffset>
                      </wp:positionV>
                      <wp:extent cx="2143354" cy="828675"/>
                      <wp:effectExtent l="0" t="0" r="0" b="9525"/>
                      <wp:wrapNone/>
                      <wp:docPr id="5" name="CuadroTexto 5"/>
                      <wp:cNvGraphicFramePr/>
                      <a:graphic xmlns:a="http://schemas.openxmlformats.org/drawingml/2006/main">
                        <a:graphicData uri="http://schemas.microsoft.com/office/word/2010/wordprocessingShape">
                          <wps:wsp>
                            <wps:cNvSpPr txBox="1"/>
                            <wps:spPr>
                              <a:xfrm>
                                <a:off x="0" y="0"/>
                                <a:ext cx="2143354" cy="828675"/>
                              </a:xfrm>
                              <a:prstGeom prst="rect">
                                <a:avLst/>
                              </a:prstGeom>
                              <a:noFill/>
                              <a:ln>
                                <a:noFill/>
                              </a:ln>
                              <a:effectLst/>
                            </wps:spPr>
                            <wps:txbx>
                              <w:txbxContent>
                                <w:p w14:paraId="009A1030"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__________________________________</w:t>
                                  </w:r>
                                </w:p>
                                <w:p w14:paraId="316BB06B"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C.P. Álvaro Martin Pérez Manjarrez</w:t>
                                  </w:r>
                                </w:p>
                                <w:p w14:paraId="0B5BCE72"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Subdirector de Servicios Administrativos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9C1E3E" id="CuadroTexto 5" o:spid="_x0000_s1027" type="#_x0000_t202" style="position:absolute;left:0;text-align:left;margin-left:-135.05pt;margin-top:-.95pt;width:168.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" filled="f" stroked="f">
                      <v:textbox>
                        <w:txbxContent>
                          <w:p w14:paraId="009A1030"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__________________________________</w:t>
                            </w:r>
                          </w:p>
                          <w:p w14:paraId="316BB06B"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C.P. Álvaro Martin Pérez Manjarrez</w:t>
                            </w:r>
                          </w:p>
                          <w:p w14:paraId="0B5BCE72"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Subdirector de Servicios Administrativos</w:t>
                            </w:r>
                          </w:p>
                        </w:txbxContent>
                      </v:textbox>
                    </v:shape>
                  </w:pict>
                </mc:Fallback>
              </mc:AlternateContent>
            </w:r>
          </w:p>
        </w:tc>
      </w:tr>
    </w:tbl>
    <w:p w14:paraId="0B0B668B" w14:textId="77777777" w:rsidR="0094757B" w:rsidRPr="00415C1D" w:rsidRDefault="0094757B" w:rsidP="0094757B">
      <w:pPr>
        <w:tabs>
          <w:tab w:val="left" w:pos="7215"/>
        </w:tabs>
        <w:jc w:val="both"/>
        <w:rPr>
          <w:rFonts w:ascii="Arial" w:hAnsi="Arial" w:cs="Arial"/>
          <w:b/>
        </w:rPr>
      </w:pPr>
      <w:r w:rsidRPr="005E7D30">
        <w:rPr>
          <w:noProof/>
        </w:rPr>
        <mc:AlternateContent>
          <mc:Choice Requires="wps">
            <w:drawing>
              <wp:anchor distT="0" distB="0" distL="114300" distR="114300" simplePos="0" relativeHeight="251660288" behindDoc="0" locked="0" layoutInCell="1" allowOverlap="1" wp14:anchorId="065A0D6B" wp14:editId="2120CE1A">
                <wp:simplePos x="0" y="0"/>
                <wp:positionH relativeFrom="column">
                  <wp:posOffset>4138295</wp:posOffset>
                </wp:positionH>
                <wp:positionV relativeFrom="paragraph">
                  <wp:posOffset>13970</wp:posOffset>
                </wp:positionV>
                <wp:extent cx="2276475" cy="485775"/>
                <wp:effectExtent l="0" t="0" r="0" b="9525"/>
                <wp:wrapNone/>
                <wp:docPr id="11" name="CuadroTexto 10">
                  <a:extLst xmlns:a="http://schemas.openxmlformats.org/drawingml/2006/main">
                    <a:ext uri="{FF2B5EF4-FFF2-40B4-BE49-F238E27FC236}">
                      <a16:creationId xmlns:a16="http://schemas.microsoft.com/office/drawing/2014/main" id="{FEAC73A4-0DE7-4F54-9F6A-A9B07CE41E24}"/>
                    </a:ext>
                  </a:extLst>
                </wp:docPr>
                <wp:cNvGraphicFramePr/>
                <a:graphic xmlns:a="http://schemas.openxmlformats.org/drawingml/2006/main">
                  <a:graphicData uri="http://schemas.microsoft.com/office/word/2010/wordprocessingShape">
                    <wps:wsp>
                      <wps:cNvSpPr txBox="1"/>
                      <wps:spPr>
                        <a:xfrm>
                          <a:off x="0" y="0"/>
                          <a:ext cx="2276475" cy="485775"/>
                        </a:xfrm>
                        <a:prstGeom prst="rect">
                          <a:avLst/>
                        </a:prstGeom>
                        <a:noFill/>
                        <a:ln>
                          <a:noFill/>
                        </a:ln>
                        <a:effectLst/>
                      </wps:spPr>
                      <wps:txbx>
                        <w:txbxContent>
                          <w:p w14:paraId="5C0B94A9"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w:t>
                            </w:r>
                          </w:p>
                          <w:p w14:paraId="43530427"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Arq. Jesús Rafael Sánchez Sebreros</w:t>
                            </w:r>
                          </w:p>
                          <w:p w14:paraId="62D32BC6"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Director General</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 w14:anchorId="065A0D6B" id="CuadroTexto 10" o:spid="_x0000_s1028" type="#_x0000_t202" style="position:absolute;left:0;text-align:left;margin-left:325.85pt;margin-top:1.1pt;width:179.25pt;height:3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" filled="f" stroked="f">
                <v:textbox>
                  <w:txbxContent>
                    <w:p w14:paraId="5C0B94A9"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w:t>
                      </w:r>
                    </w:p>
                    <w:p w14:paraId="43530427"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Arq. Jesús Rafael Sánchez Sebreros</w:t>
                      </w:r>
                    </w:p>
                    <w:p w14:paraId="62D32BC6" w14:textId="77777777" w:rsidR="0094757B" w:rsidRPr="005E7D30" w:rsidRDefault="0094757B" w:rsidP="0094757B">
                      <w:pPr>
                        <w:pStyle w:val="NormalWeb"/>
                        <w:spacing w:before="0" w:beforeAutospacing="0" w:after="0" w:afterAutospacing="0"/>
                        <w:jc w:val="center"/>
                        <w:rPr>
                          <w:sz w:val="22"/>
                        </w:rPr>
                      </w:pPr>
                      <w:r w:rsidRPr="005E7D30">
                        <w:rPr>
                          <w:rFonts w:ascii="Calibri" w:hAnsi="Calibri" w:cstheme="minorBidi"/>
                          <w:color w:val="000000"/>
                          <w:sz w:val="18"/>
                          <w:szCs w:val="20"/>
                        </w:rPr>
                        <w:t>Director General</w:t>
                      </w:r>
                    </w:p>
                  </w:txbxContent>
                </v:textbox>
              </v:shape>
            </w:pict>
          </mc:Fallback>
        </mc:AlternateContent>
      </w:r>
    </w:p>
    <w:p w14:paraId="5B442E72" w14:textId="77777777" w:rsidR="0094757B" w:rsidRPr="007D167D" w:rsidRDefault="0094757B" w:rsidP="007B7886">
      <w:pPr>
        <w:rPr>
          <w:rFonts w:ascii="Arial" w:hAnsi="Arial" w:cs="Arial"/>
        </w:rPr>
      </w:pPr>
    </w:p>
    <w:p w14:paraId="50240B15" w14:textId="77777777" w:rsidR="0094757B" w:rsidRDefault="0094757B" w:rsidP="007B7886">
      <w:pPr>
        <w:jc w:val="center"/>
        <w:rPr>
          <w:rFonts w:ascii="Arial" w:hAnsi="Arial" w:cs="Arial"/>
          <w:b/>
          <w:sz w:val="24"/>
          <w:szCs w:val="24"/>
        </w:rPr>
      </w:pPr>
    </w:p>
    <w:p w14:paraId="57C342EB" w14:textId="77777777" w:rsidR="00AE10DA" w:rsidRDefault="00AE10DA" w:rsidP="007B7886">
      <w:pPr>
        <w:jc w:val="center"/>
        <w:rPr>
          <w:rFonts w:ascii="Arial" w:hAnsi="Arial" w:cs="Arial"/>
          <w:b/>
          <w:sz w:val="24"/>
          <w:szCs w:val="24"/>
        </w:rPr>
      </w:pPr>
    </w:p>
    <w:p w14:paraId="49199CF1" w14:textId="5E6159EA" w:rsidR="007B7886" w:rsidRPr="007D167D" w:rsidRDefault="00AE10DA" w:rsidP="007B7886">
      <w:pPr>
        <w:jc w:val="center"/>
        <w:rPr>
          <w:rFonts w:ascii="Arial" w:hAnsi="Arial" w:cs="Arial"/>
          <w:b/>
          <w:sz w:val="24"/>
          <w:szCs w:val="24"/>
        </w:rPr>
      </w:pPr>
      <w:r>
        <w:rPr>
          <w:rFonts w:ascii="Arial" w:hAnsi="Arial" w:cs="Arial"/>
          <w:b/>
          <w:sz w:val="24"/>
          <w:szCs w:val="24"/>
        </w:rPr>
        <w:t>b</w:t>
      </w:r>
      <w:r w:rsidR="007B7886" w:rsidRPr="007D167D">
        <w:rPr>
          <w:rFonts w:ascii="Arial" w:hAnsi="Arial" w:cs="Arial"/>
          <w:b/>
          <w:sz w:val="24"/>
          <w:szCs w:val="24"/>
        </w:rPr>
        <w:t>) NOTAS DE DESGLOSE</w:t>
      </w:r>
    </w:p>
    <w:p w14:paraId="76A69FB7" w14:textId="7D53AE10" w:rsidR="007B7886" w:rsidRDefault="007B7886" w:rsidP="007B7886">
      <w:pPr>
        <w:rPr>
          <w:rFonts w:ascii="Arial" w:hAnsi="Arial" w:cs="Arial"/>
          <w:sz w:val="24"/>
          <w:szCs w:val="24"/>
        </w:rPr>
      </w:pPr>
    </w:p>
    <w:p w14:paraId="388B9BDB" w14:textId="06165F27" w:rsidR="00AE10DA" w:rsidRDefault="008365E9" w:rsidP="00AE10DA">
      <w:pPr>
        <w:rPr>
          <w:rFonts w:ascii="Arial" w:hAnsi="Arial" w:cs="Arial"/>
          <w:b/>
          <w:sz w:val="24"/>
          <w:szCs w:val="24"/>
        </w:rPr>
      </w:pPr>
      <w:r w:rsidRPr="007D167D">
        <w:rPr>
          <w:rFonts w:ascii="Arial" w:hAnsi="Arial" w:cs="Arial"/>
          <w:b/>
          <w:sz w:val="24"/>
          <w:szCs w:val="24"/>
        </w:rPr>
        <w:t>II). -</w:t>
      </w:r>
      <w:r w:rsidR="00AE10DA" w:rsidRPr="007D167D">
        <w:rPr>
          <w:rFonts w:ascii="Arial" w:hAnsi="Arial" w:cs="Arial"/>
          <w:b/>
          <w:sz w:val="24"/>
          <w:szCs w:val="24"/>
        </w:rPr>
        <w:t xml:space="preserve"> NOTAS AL ESTADO DE ACTIVIDADES</w:t>
      </w:r>
    </w:p>
    <w:p w14:paraId="6D72D8C4" w14:textId="77777777" w:rsidR="00AE10DA" w:rsidRPr="007D167D" w:rsidRDefault="00AE10DA" w:rsidP="00AE10DA">
      <w:pPr>
        <w:rPr>
          <w:rFonts w:ascii="Arial" w:hAnsi="Arial" w:cs="Arial"/>
          <w:b/>
          <w:sz w:val="24"/>
          <w:szCs w:val="24"/>
        </w:rPr>
      </w:pPr>
    </w:p>
    <w:p w14:paraId="5E578A45" w14:textId="77777777" w:rsidR="00AE10DA" w:rsidRPr="007D167D" w:rsidRDefault="00AE10DA" w:rsidP="00AE10DA">
      <w:pPr>
        <w:pStyle w:val="Prrafodelista"/>
        <w:numPr>
          <w:ilvl w:val="0"/>
          <w:numId w:val="2"/>
        </w:numPr>
        <w:ind w:left="284" w:hanging="284"/>
        <w:rPr>
          <w:rFonts w:ascii="Arial" w:hAnsi="Arial" w:cs="Arial"/>
          <w:b/>
        </w:rPr>
      </w:pPr>
      <w:r w:rsidRPr="007D167D">
        <w:rPr>
          <w:rFonts w:ascii="Arial" w:hAnsi="Arial" w:cs="Arial"/>
          <w:b/>
        </w:rPr>
        <w:t>Ingresos de Gestión</w:t>
      </w:r>
    </w:p>
    <w:p w14:paraId="5F6050E1" w14:textId="0B6D9727" w:rsidR="00AE10DA" w:rsidRDefault="00AE10DA" w:rsidP="00AE10DA">
      <w:pPr>
        <w:rPr>
          <w:rFonts w:ascii="Arial" w:hAnsi="Arial" w:cs="Arial"/>
        </w:rPr>
      </w:pPr>
      <w:r w:rsidRPr="007D167D">
        <w:rPr>
          <w:rFonts w:ascii="Arial" w:hAnsi="Arial" w:cs="Arial"/>
        </w:rPr>
        <w:t xml:space="preserve">1.-Durante el periodo de </w:t>
      </w:r>
      <w:r w:rsidR="00C23220">
        <w:rPr>
          <w:rFonts w:ascii="Arial" w:hAnsi="Arial" w:cs="Arial"/>
        </w:rPr>
        <w:t>e</w:t>
      </w:r>
      <w:r w:rsidRPr="007D167D">
        <w:rPr>
          <w:rFonts w:ascii="Arial" w:hAnsi="Arial" w:cs="Arial"/>
        </w:rPr>
        <w:t xml:space="preserve">nero a </w:t>
      </w:r>
      <w:r w:rsidR="00C23220">
        <w:rPr>
          <w:rFonts w:ascii="Arial" w:hAnsi="Arial" w:cs="Arial"/>
        </w:rPr>
        <w:t>dici</w:t>
      </w:r>
      <w:r>
        <w:rPr>
          <w:rFonts w:ascii="Arial" w:hAnsi="Arial" w:cs="Arial"/>
        </w:rPr>
        <w:t>embre</w:t>
      </w:r>
      <w:r w:rsidRPr="007D167D">
        <w:rPr>
          <w:rFonts w:ascii="Arial" w:hAnsi="Arial" w:cs="Arial"/>
        </w:rPr>
        <w:t xml:space="preserve"> de 2024; se registraron los siguientes ingresos:</w:t>
      </w:r>
    </w:p>
    <w:p w14:paraId="55770EA9" w14:textId="77777777" w:rsidR="00AE10DA" w:rsidRPr="007D167D" w:rsidRDefault="00AE10DA" w:rsidP="00AE10DA">
      <w:pPr>
        <w:rPr>
          <w:rFonts w:ascii="Arial" w:hAnsi="Arial" w:cs="Arial"/>
        </w:rPr>
      </w:pPr>
    </w:p>
    <w:tbl>
      <w:tblPr>
        <w:tblW w:w="5626" w:type="dxa"/>
        <w:jc w:val="center"/>
        <w:tblCellMar>
          <w:left w:w="70" w:type="dxa"/>
          <w:right w:w="70" w:type="dxa"/>
        </w:tblCellMar>
        <w:tblLook w:val="04A0" w:firstRow="1" w:lastRow="0" w:firstColumn="1" w:lastColumn="0" w:noHBand="0" w:noVBand="1"/>
      </w:tblPr>
      <w:tblGrid>
        <w:gridCol w:w="3726"/>
        <w:gridCol w:w="1900"/>
      </w:tblGrid>
      <w:tr w:rsidR="00AE10DA" w:rsidRPr="007D167D" w14:paraId="4FFFA4A8" w14:textId="77777777" w:rsidTr="005762B1">
        <w:trPr>
          <w:trHeight w:val="263"/>
          <w:jc w:val="center"/>
        </w:trPr>
        <w:tc>
          <w:tcPr>
            <w:tcW w:w="3726" w:type="dxa"/>
            <w:tcBorders>
              <w:top w:val="single" w:sz="4" w:space="0" w:color="auto"/>
              <w:left w:val="single" w:sz="4" w:space="0" w:color="auto"/>
              <w:bottom w:val="single" w:sz="4" w:space="0" w:color="auto"/>
              <w:right w:val="nil"/>
            </w:tcBorders>
            <w:shd w:val="clear" w:color="000000" w:fill="808080"/>
            <w:noWrap/>
            <w:vAlign w:val="bottom"/>
            <w:hideMark/>
          </w:tcPr>
          <w:p w14:paraId="0D0BC373" w14:textId="77777777" w:rsidR="00AE10DA" w:rsidRPr="007D167D" w:rsidRDefault="00AE10DA" w:rsidP="005762B1">
            <w:pPr>
              <w:spacing w:after="0" w:line="240" w:lineRule="auto"/>
              <w:rPr>
                <w:rFonts w:ascii="Arial" w:eastAsia="Times New Roman" w:hAnsi="Arial" w:cs="Arial"/>
                <w:b/>
                <w:bCs/>
                <w:color w:val="000000"/>
                <w:lang w:eastAsia="es-MX"/>
              </w:rPr>
            </w:pPr>
          </w:p>
        </w:tc>
        <w:tc>
          <w:tcPr>
            <w:tcW w:w="1900" w:type="dxa"/>
            <w:tcBorders>
              <w:top w:val="single" w:sz="4" w:space="0" w:color="auto"/>
              <w:left w:val="nil"/>
              <w:bottom w:val="single" w:sz="4" w:space="0" w:color="auto"/>
              <w:right w:val="nil"/>
            </w:tcBorders>
            <w:shd w:val="clear" w:color="000000" w:fill="808080"/>
            <w:noWrap/>
            <w:vAlign w:val="bottom"/>
            <w:hideMark/>
          </w:tcPr>
          <w:p w14:paraId="1755C1FC" w14:textId="77777777" w:rsidR="00AE10DA" w:rsidRPr="007D167D" w:rsidRDefault="00AE10DA" w:rsidP="005762B1">
            <w:pPr>
              <w:spacing w:after="0" w:line="240" w:lineRule="auto"/>
              <w:jc w:val="center"/>
              <w:rPr>
                <w:rFonts w:ascii="Arial" w:eastAsia="Times New Roman" w:hAnsi="Arial" w:cs="Arial"/>
                <w:b/>
                <w:bCs/>
                <w:color w:val="000000"/>
                <w:lang w:eastAsia="es-MX"/>
              </w:rPr>
            </w:pPr>
          </w:p>
        </w:tc>
      </w:tr>
      <w:tr w:rsidR="00AE10DA" w:rsidRPr="007D167D" w14:paraId="36EF5CBB" w14:textId="77777777" w:rsidTr="005762B1">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C9F25" w14:textId="77777777" w:rsidR="00AE10DA" w:rsidRPr="007D167D" w:rsidRDefault="00AE10DA" w:rsidP="005762B1">
            <w:pPr>
              <w:spacing w:after="0" w:line="240" w:lineRule="auto"/>
              <w:rPr>
                <w:rFonts w:ascii="Arial" w:eastAsia="Times New Roman" w:hAnsi="Arial" w:cs="Arial"/>
                <w:color w:val="000000"/>
                <w:lang w:eastAsia="es-MX"/>
              </w:rPr>
            </w:pPr>
            <w:r w:rsidRPr="007D167D">
              <w:rPr>
                <w:rFonts w:ascii="Arial" w:eastAsia="Times New Roman" w:hAnsi="Arial" w:cs="Arial"/>
                <w:b/>
                <w:bCs/>
                <w:color w:val="000000"/>
                <w:lang w:eastAsia="es-MX"/>
              </w:rPr>
              <w:t>Concepto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20751" w14:textId="77777777" w:rsidR="00AE10DA" w:rsidRPr="007D167D" w:rsidRDefault="00AE10DA" w:rsidP="005762B1">
            <w:pPr>
              <w:spacing w:after="0" w:line="240" w:lineRule="auto"/>
              <w:jc w:val="right"/>
              <w:rPr>
                <w:rFonts w:ascii="Arial" w:eastAsia="Times New Roman" w:hAnsi="Arial" w:cs="Arial"/>
                <w:color w:val="000000"/>
                <w:lang w:eastAsia="es-MX"/>
              </w:rPr>
            </w:pPr>
            <w:r w:rsidRPr="007D167D">
              <w:rPr>
                <w:rFonts w:ascii="Arial" w:eastAsia="Times New Roman" w:hAnsi="Arial" w:cs="Arial"/>
                <w:b/>
                <w:bCs/>
                <w:color w:val="000000"/>
                <w:lang w:eastAsia="es-MX"/>
              </w:rPr>
              <w:t>Importe</w:t>
            </w:r>
          </w:p>
        </w:tc>
      </w:tr>
      <w:tr w:rsidR="00AE10DA" w:rsidRPr="007D167D" w14:paraId="0F29FF20" w14:textId="77777777" w:rsidTr="005762B1">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55584" w14:textId="77777777" w:rsidR="00AE10DA" w:rsidRPr="007D167D" w:rsidRDefault="00AE10DA" w:rsidP="005762B1">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Ingresos Propios</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E6BCB" w14:textId="7E479909" w:rsidR="00AE10DA" w:rsidRPr="007D167D" w:rsidRDefault="00AE10DA" w:rsidP="005762B1">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Pr>
                <w:rFonts w:ascii="Arial" w:eastAsia="Times New Roman" w:hAnsi="Arial" w:cs="Arial"/>
                <w:color w:val="000000"/>
                <w:lang w:eastAsia="es-MX"/>
              </w:rPr>
              <w:t>3,</w:t>
            </w:r>
            <w:r w:rsidR="00246C71">
              <w:rPr>
                <w:rFonts w:ascii="Arial" w:eastAsia="Times New Roman" w:hAnsi="Arial" w:cs="Arial"/>
                <w:color w:val="000000"/>
                <w:lang w:eastAsia="es-MX"/>
              </w:rPr>
              <w:t>609,677.4</w:t>
            </w:r>
            <w:r>
              <w:rPr>
                <w:rFonts w:ascii="Arial" w:eastAsia="Times New Roman" w:hAnsi="Arial" w:cs="Arial"/>
                <w:color w:val="000000"/>
                <w:lang w:eastAsia="es-MX"/>
              </w:rPr>
              <w:t>3</w:t>
            </w:r>
          </w:p>
        </w:tc>
      </w:tr>
      <w:tr w:rsidR="00AE10DA" w:rsidRPr="007D167D" w14:paraId="4D2A7D25" w14:textId="77777777" w:rsidTr="005762B1">
        <w:trPr>
          <w:trHeight w:val="263"/>
          <w:jc w:val="center"/>
        </w:trPr>
        <w:tc>
          <w:tcPr>
            <w:tcW w:w="3726" w:type="dxa"/>
            <w:tcBorders>
              <w:top w:val="single" w:sz="4" w:space="0" w:color="auto"/>
              <w:left w:val="single" w:sz="4" w:space="0" w:color="auto"/>
              <w:bottom w:val="single" w:sz="4" w:space="0" w:color="auto"/>
              <w:right w:val="nil"/>
            </w:tcBorders>
            <w:shd w:val="clear" w:color="auto" w:fill="auto"/>
            <w:noWrap/>
            <w:vAlign w:val="bottom"/>
            <w:hideMark/>
          </w:tcPr>
          <w:p w14:paraId="592D20D3" w14:textId="77777777" w:rsidR="00AE10DA" w:rsidRPr="007D167D" w:rsidRDefault="00AE10DA" w:rsidP="005762B1">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Subsidio Federal</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13351" w14:textId="61DEC5DB" w:rsidR="00AE10DA" w:rsidRPr="007D167D" w:rsidRDefault="00AE10DA" w:rsidP="005762B1">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246C71">
              <w:rPr>
                <w:rFonts w:ascii="Arial" w:eastAsia="Times New Roman" w:hAnsi="Arial" w:cs="Arial"/>
                <w:color w:val="000000"/>
                <w:lang w:eastAsia="es-MX"/>
              </w:rPr>
              <w:t>27,268,955</w:t>
            </w:r>
            <w:r>
              <w:rPr>
                <w:rFonts w:ascii="Arial" w:eastAsia="Times New Roman" w:hAnsi="Arial" w:cs="Arial"/>
                <w:color w:val="000000"/>
                <w:lang w:eastAsia="es-MX"/>
              </w:rPr>
              <w:t>.00</w:t>
            </w:r>
          </w:p>
        </w:tc>
      </w:tr>
      <w:tr w:rsidR="00AE10DA" w:rsidRPr="007D167D" w14:paraId="0A112DD2" w14:textId="77777777" w:rsidTr="005762B1">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FE2A8" w14:textId="77777777" w:rsidR="00AE10DA" w:rsidRPr="007D167D" w:rsidRDefault="00AE10DA" w:rsidP="005762B1">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Subsidio Estatal</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74EA6" w14:textId="48A313F8" w:rsidR="00AE10DA" w:rsidRPr="007D167D" w:rsidRDefault="00AE10DA" w:rsidP="005762B1">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246C71">
              <w:rPr>
                <w:rFonts w:ascii="Arial" w:eastAsia="Times New Roman" w:hAnsi="Arial" w:cs="Arial"/>
                <w:color w:val="000000"/>
                <w:lang w:eastAsia="es-MX"/>
              </w:rPr>
              <w:t>26,978,998.65</w:t>
            </w:r>
          </w:p>
        </w:tc>
      </w:tr>
      <w:tr w:rsidR="00AE10DA" w:rsidRPr="007D167D" w14:paraId="01AA849F" w14:textId="77777777" w:rsidTr="005762B1">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79E6" w14:textId="77777777" w:rsidR="00AE10DA" w:rsidRPr="007D167D" w:rsidRDefault="00AE10DA" w:rsidP="005762B1">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Total</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C57A1" w14:textId="6A26E377" w:rsidR="00AE10DA" w:rsidRPr="007D167D" w:rsidRDefault="00AE10DA" w:rsidP="005762B1">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246C71">
              <w:rPr>
                <w:rFonts w:ascii="Arial" w:eastAsia="Times New Roman" w:hAnsi="Arial" w:cs="Arial"/>
                <w:b/>
                <w:bCs/>
                <w:color w:val="000000"/>
                <w:lang w:eastAsia="es-MX"/>
              </w:rPr>
              <w:t>57,857,631.08</w:t>
            </w:r>
          </w:p>
        </w:tc>
      </w:tr>
    </w:tbl>
    <w:p w14:paraId="05AE8608" w14:textId="69F2DB4D" w:rsidR="00AE10DA" w:rsidRDefault="00AE10DA" w:rsidP="00AE10DA">
      <w:pPr>
        <w:rPr>
          <w:rFonts w:ascii="Arial" w:hAnsi="Arial" w:cs="Arial"/>
        </w:rPr>
      </w:pPr>
    </w:p>
    <w:p w14:paraId="24D3FBCE" w14:textId="77777777" w:rsidR="00AE10DA" w:rsidRPr="007D167D" w:rsidRDefault="00AE10DA" w:rsidP="00AE10DA">
      <w:pPr>
        <w:rPr>
          <w:rFonts w:ascii="Arial" w:hAnsi="Arial" w:cs="Arial"/>
        </w:rPr>
      </w:pPr>
    </w:p>
    <w:p w14:paraId="13589237" w14:textId="736FD7B6" w:rsidR="00AE10DA" w:rsidRDefault="00AE10DA" w:rsidP="00AE10DA">
      <w:pPr>
        <w:rPr>
          <w:rFonts w:ascii="Arial" w:hAnsi="Arial" w:cs="Arial"/>
        </w:rPr>
      </w:pPr>
      <w:r w:rsidRPr="007D167D">
        <w:rPr>
          <w:rFonts w:ascii="Arial" w:hAnsi="Arial" w:cs="Arial"/>
        </w:rPr>
        <w:t>2.-formato ETCA-II-01 ingresos</w:t>
      </w:r>
    </w:p>
    <w:p w14:paraId="24B36511" w14:textId="77777777" w:rsidR="00AE10DA" w:rsidRDefault="00AE10DA" w:rsidP="00AE10DA">
      <w:pPr>
        <w:rPr>
          <w:rFonts w:ascii="Arial" w:hAnsi="Arial" w:cs="Arial"/>
        </w:rPr>
      </w:pPr>
    </w:p>
    <w:p w14:paraId="10838551" w14:textId="4CEC62F9" w:rsidR="00AE10DA" w:rsidRPr="007D167D" w:rsidRDefault="00246C71" w:rsidP="00AE10DA">
      <w:pPr>
        <w:jc w:val="center"/>
        <w:rPr>
          <w:rFonts w:ascii="Arial" w:hAnsi="Arial" w:cs="Arial"/>
        </w:rPr>
      </w:pPr>
      <w:r>
        <w:rPr>
          <w:noProof/>
        </w:rPr>
        <w:drawing>
          <wp:inline distT="0" distB="0" distL="0" distR="0" wp14:anchorId="239DCD97" wp14:editId="028E5707">
            <wp:extent cx="5940425" cy="2451100"/>
            <wp:effectExtent l="0" t="0" r="317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451100"/>
                    </a:xfrm>
                    <a:prstGeom prst="rect">
                      <a:avLst/>
                    </a:prstGeom>
                  </pic:spPr>
                </pic:pic>
              </a:graphicData>
            </a:graphic>
          </wp:inline>
        </w:drawing>
      </w:r>
    </w:p>
    <w:p w14:paraId="209E26C8" w14:textId="5C3282A3" w:rsidR="00AE10DA" w:rsidRPr="007D167D" w:rsidRDefault="00246C71" w:rsidP="00AE10DA">
      <w:pPr>
        <w:jc w:val="center"/>
        <w:rPr>
          <w:noProof/>
        </w:rPr>
      </w:pPr>
      <w:r>
        <w:rPr>
          <w:noProof/>
        </w:rPr>
        <w:lastRenderedPageBreak/>
        <w:drawing>
          <wp:inline distT="0" distB="0" distL="0" distR="0" wp14:anchorId="18CA9237" wp14:editId="71BD24CF">
            <wp:extent cx="5940425" cy="3387090"/>
            <wp:effectExtent l="0" t="0" r="317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387090"/>
                    </a:xfrm>
                    <a:prstGeom prst="rect">
                      <a:avLst/>
                    </a:prstGeom>
                  </pic:spPr>
                </pic:pic>
              </a:graphicData>
            </a:graphic>
          </wp:inline>
        </w:drawing>
      </w:r>
    </w:p>
    <w:p w14:paraId="6E427C87" w14:textId="77777777" w:rsidR="00AE10DA" w:rsidRDefault="00AE10DA" w:rsidP="00AE10DA">
      <w:pPr>
        <w:pStyle w:val="Prrafodelista"/>
        <w:ind w:left="284"/>
        <w:rPr>
          <w:rFonts w:ascii="Arial" w:hAnsi="Arial" w:cs="Arial"/>
          <w:b/>
        </w:rPr>
      </w:pPr>
    </w:p>
    <w:p w14:paraId="07B037E4" w14:textId="77777777" w:rsidR="00AE10DA" w:rsidRPr="007D167D" w:rsidRDefault="00AE10DA" w:rsidP="00AE10DA">
      <w:pPr>
        <w:pStyle w:val="Prrafodelista"/>
        <w:numPr>
          <w:ilvl w:val="0"/>
          <w:numId w:val="2"/>
        </w:numPr>
        <w:ind w:left="284" w:hanging="284"/>
        <w:rPr>
          <w:rFonts w:ascii="Arial" w:hAnsi="Arial" w:cs="Arial"/>
          <w:b/>
        </w:rPr>
      </w:pPr>
      <w:r w:rsidRPr="007D167D">
        <w:rPr>
          <w:rFonts w:ascii="Arial" w:hAnsi="Arial" w:cs="Arial"/>
          <w:b/>
        </w:rPr>
        <w:t xml:space="preserve">Otros Ingresos y Beneficios </w:t>
      </w:r>
    </w:p>
    <w:p w14:paraId="0E5CC839" w14:textId="309B41C9" w:rsidR="00AE10DA" w:rsidRPr="007D167D" w:rsidRDefault="00246C71" w:rsidP="00AE10DA">
      <w:pPr>
        <w:jc w:val="center"/>
        <w:rPr>
          <w:rFonts w:ascii="Arial" w:hAnsi="Arial" w:cs="Arial"/>
        </w:rPr>
      </w:pPr>
      <w:r>
        <w:rPr>
          <w:noProof/>
        </w:rPr>
        <w:drawing>
          <wp:inline distT="0" distB="0" distL="0" distR="0" wp14:anchorId="4F378214" wp14:editId="4FE941F4">
            <wp:extent cx="5940425" cy="385000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850005"/>
                    </a:xfrm>
                    <a:prstGeom prst="rect">
                      <a:avLst/>
                    </a:prstGeom>
                  </pic:spPr>
                </pic:pic>
              </a:graphicData>
            </a:graphic>
          </wp:inline>
        </w:drawing>
      </w:r>
    </w:p>
    <w:p w14:paraId="1879F47F" w14:textId="77777777" w:rsidR="00AE10DA" w:rsidRPr="007D167D" w:rsidRDefault="00AE10DA" w:rsidP="00AE10DA">
      <w:pPr>
        <w:pStyle w:val="Prrafodelista"/>
        <w:numPr>
          <w:ilvl w:val="0"/>
          <w:numId w:val="2"/>
        </w:numPr>
        <w:ind w:left="284" w:hanging="284"/>
        <w:rPr>
          <w:rFonts w:ascii="Arial" w:hAnsi="Arial" w:cs="Arial"/>
          <w:b/>
        </w:rPr>
      </w:pPr>
      <w:r w:rsidRPr="007D167D">
        <w:rPr>
          <w:rFonts w:ascii="Arial" w:hAnsi="Arial" w:cs="Arial"/>
          <w:b/>
        </w:rPr>
        <w:lastRenderedPageBreak/>
        <w:t>Gastos y Otras Pérdidas</w:t>
      </w:r>
    </w:p>
    <w:p w14:paraId="19A5720C" w14:textId="47F897D1" w:rsidR="00AE10DA" w:rsidRDefault="00246C71" w:rsidP="00AE10DA">
      <w:pPr>
        <w:jc w:val="center"/>
        <w:rPr>
          <w:noProof/>
        </w:rPr>
      </w:pPr>
      <w:r>
        <w:rPr>
          <w:noProof/>
        </w:rPr>
        <w:drawing>
          <wp:inline distT="0" distB="0" distL="0" distR="0" wp14:anchorId="26E50664" wp14:editId="5A1C309D">
            <wp:extent cx="5940425" cy="4406900"/>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4406900"/>
                    </a:xfrm>
                    <a:prstGeom prst="rect">
                      <a:avLst/>
                    </a:prstGeom>
                  </pic:spPr>
                </pic:pic>
              </a:graphicData>
            </a:graphic>
          </wp:inline>
        </w:drawing>
      </w:r>
    </w:p>
    <w:p w14:paraId="7B14FBE4" w14:textId="5164FDD1" w:rsidR="00AE10DA" w:rsidRPr="007D167D" w:rsidRDefault="00246C71" w:rsidP="00AE10DA">
      <w:pPr>
        <w:jc w:val="center"/>
        <w:rPr>
          <w:rFonts w:ascii="Arial" w:hAnsi="Arial" w:cs="Arial"/>
          <w:highlight w:val="yellow"/>
        </w:rPr>
      </w:pPr>
      <w:r>
        <w:rPr>
          <w:noProof/>
        </w:rPr>
        <w:drawing>
          <wp:inline distT="0" distB="0" distL="0" distR="0" wp14:anchorId="2A6A1238" wp14:editId="2220CA23">
            <wp:extent cx="5940425" cy="82423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824230"/>
                    </a:xfrm>
                    <a:prstGeom prst="rect">
                      <a:avLst/>
                    </a:prstGeom>
                  </pic:spPr>
                </pic:pic>
              </a:graphicData>
            </a:graphic>
          </wp:inline>
        </w:drawing>
      </w:r>
    </w:p>
    <w:p w14:paraId="6F10493E" w14:textId="12C4480D" w:rsidR="00AE10DA" w:rsidRDefault="00AE10DA" w:rsidP="00AE10DA">
      <w:pPr>
        <w:rPr>
          <w:rFonts w:ascii="Arial" w:hAnsi="Arial" w:cs="Arial"/>
          <w:b/>
        </w:rPr>
      </w:pPr>
    </w:p>
    <w:p w14:paraId="0F0CDBFD" w14:textId="7B603466" w:rsidR="00AE10DA" w:rsidRDefault="00AE10DA" w:rsidP="00AE10DA">
      <w:pPr>
        <w:rPr>
          <w:rFonts w:ascii="Arial" w:hAnsi="Arial" w:cs="Arial"/>
          <w:b/>
        </w:rPr>
      </w:pPr>
    </w:p>
    <w:p w14:paraId="34C735CD" w14:textId="5967BFFB" w:rsidR="00AE10DA" w:rsidRDefault="00AE10DA" w:rsidP="00AE10DA">
      <w:pPr>
        <w:rPr>
          <w:rFonts w:ascii="Arial" w:hAnsi="Arial" w:cs="Arial"/>
          <w:b/>
        </w:rPr>
      </w:pPr>
    </w:p>
    <w:p w14:paraId="7C3CD719" w14:textId="11E8D2E5" w:rsidR="00AE10DA" w:rsidRDefault="00AE10DA" w:rsidP="00AE10DA">
      <w:pPr>
        <w:rPr>
          <w:rFonts w:ascii="Arial" w:hAnsi="Arial" w:cs="Arial"/>
          <w:b/>
        </w:rPr>
      </w:pPr>
    </w:p>
    <w:p w14:paraId="2BEF5902" w14:textId="77777777" w:rsidR="00792F69" w:rsidRDefault="00792F69" w:rsidP="00AE10DA">
      <w:pPr>
        <w:rPr>
          <w:rFonts w:ascii="Arial" w:hAnsi="Arial" w:cs="Arial"/>
          <w:b/>
        </w:rPr>
      </w:pPr>
    </w:p>
    <w:p w14:paraId="4A5207EC" w14:textId="4806D5AE" w:rsidR="00AE10DA" w:rsidRDefault="00AE10DA" w:rsidP="00AE10DA">
      <w:pPr>
        <w:rPr>
          <w:rFonts w:ascii="Arial" w:hAnsi="Arial" w:cs="Arial"/>
          <w:b/>
        </w:rPr>
      </w:pPr>
    </w:p>
    <w:p w14:paraId="49405219" w14:textId="77777777" w:rsidR="00AE10DA" w:rsidRPr="007D167D" w:rsidRDefault="00AE10DA" w:rsidP="00AE10DA">
      <w:pPr>
        <w:rPr>
          <w:rFonts w:ascii="Arial" w:hAnsi="Arial" w:cs="Arial"/>
          <w:b/>
        </w:rPr>
      </w:pPr>
    </w:p>
    <w:p w14:paraId="0E499952" w14:textId="77777777" w:rsidR="00AE10DA" w:rsidRPr="007D167D" w:rsidRDefault="00AE10DA" w:rsidP="007B7886">
      <w:pPr>
        <w:rPr>
          <w:rFonts w:ascii="Arial" w:hAnsi="Arial" w:cs="Arial"/>
          <w:sz w:val="24"/>
          <w:szCs w:val="24"/>
        </w:rPr>
      </w:pPr>
    </w:p>
    <w:p w14:paraId="714A2B56" w14:textId="61B5A713" w:rsidR="007B7886" w:rsidRPr="007D167D" w:rsidRDefault="00AE10DA" w:rsidP="007B7886">
      <w:pPr>
        <w:rPr>
          <w:rFonts w:ascii="Arial" w:hAnsi="Arial" w:cs="Arial"/>
          <w:b/>
          <w:sz w:val="24"/>
          <w:szCs w:val="24"/>
        </w:rPr>
      </w:pPr>
      <w:r>
        <w:rPr>
          <w:rFonts w:ascii="Arial" w:hAnsi="Arial" w:cs="Arial"/>
          <w:b/>
          <w:sz w:val="24"/>
          <w:szCs w:val="24"/>
        </w:rPr>
        <w:lastRenderedPageBreak/>
        <w:t>I</w:t>
      </w:r>
      <w:r w:rsidR="007B7886" w:rsidRPr="007D167D">
        <w:rPr>
          <w:rFonts w:ascii="Arial" w:hAnsi="Arial" w:cs="Arial"/>
          <w:b/>
          <w:sz w:val="24"/>
          <w:szCs w:val="24"/>
        </w:rPr>
        <w:t>I) NOTAS AL ESTADO DE SITUACIÓN FINANCIERA</w:t>
      </w:r>
    </w:p>
    <w:p w14:paraId="456D65D2" w14:textId="77777777" w:rsidR="007B7886" w:rsidRPr="007D167D" w:rsidRDefault="007B7886" w:rsidP="007B7886">
      <w:pPr>
        <w:rPr>
          <w:rFonts w:ascii="Arial" w:hAnsi="Arial" w:cs="Arial"/>
          <w:b/>
        </w:rPr>
      </w:pPr>
      <w:r w:rsidRPr="007D167D">
        <w:rPr>
          <w:rFonts w:ascii="Arial" w:hAnsi="Arial" w:cs="Arial"/>
          <w:b/>
        </w:rPr>
        <w:t>Activo</w:t>
      </w:r>
    </w:p>
    <w:p w14:paraId="10E81291" w14:textId="77777777" w:rsidR="007B7886" w:rsidRPr="007D167D" w:rsidRDefault="007B7886" w:rsidP="007B7886">
      <w:pPr>
        <w:rPr>
          <w:rFonts w:ascii="Arial" w:hAnsi="Arial" w:cs="Arial"/>
          <w:b/>
        </w:rPr>
      </w:pPr>
      <w:r w:rsidRPr="007D167D">
        <w:rPr>
          <w:rFonts w:ascii="Arial" w:hAnsi="Arial" w:cs="Arial"/>
          <w:b/>
        </w:rPr>
        <w:t>1.-Efectivo y Equivalentes</w:t>
      </w:r>
    </w:p>
    <w:p w14:paraId="321D0005" w14:textId="574191E1" w:rsidR="007B7886" w:rsidRPr="007D167D" w:rsidRDefault="007B7886" w:rsidP="007B7886">
      <w:pPr>
        <w:rPr>
          <w:rFonts w:ascii="Arial" w:hAnsi="Arial" w:cs="Arial"/>
        </w:rPr>
      </w:pPr>
      <w:r w:rsidRPr="007D167D">
        <w:rPr>
          <w:rFonts w:ascii="Arial" w:hAnsi="Arial" w:cs="Arial"/>
        </w:rPr>
        <w:t>En este apartado se informa el tipo y monto de los fondos con afectación específica al 3</w:t>
      </w:r>
      <w:r w:rsidR="00513015">
        <w:rPr>
          <w:rFonts w:ascii="Arial" w:hAnsi="Arial" w:cs="Arial"/>
        </w:rPr>
        <w:t>1</w:t>
      </w:r>
      <w:r w:rsidRPr="007D167D">
        <w:rPr>
          <w:rFonts w:ascii="Arial" w:hAnsi="Arial" w:cs="Arial"/>
        </w:rPr>
        <w:t xml:space="preserve"> de </w:t>
      </w:r>
      <w:r w:rsidR="00792F69">
        <w:rPr>
          <w:rFonts w:ascii="Arial" w:hAnsi="Arial" w:cs="Arial"/>
        </w:rPr>
        <w:t>dic</w:t>
      </w:r>
      <w:r w:rsidR="002F268B">
        <w:rPr>
          <w:rFonts w:ascii="Arial" w:hAnsi="Arial" w:cs="Arial"/>
        </w:rPr>
        <w:t>iembre</w:t>
      </w:r>
      <w:r w:rsidR="00F353C7" w:rsidRPr="007D167D">
        <w:rPr>
          <w:rFonts w:ascii="Arial" w:hAnsi="Arial" w:cs="Arial"/>
        </w:rPr>
        <w:t xml:space="preserve"> </w:t>
      </w:r>
      <w:r w:rsidR="00054C73" w:rsidRPr="007D167D">
        <w:rPr>
          <w:rFonts w:ascii="Arial" w:hAnsi="Arial" w:cs="Arial"/>
        </w:rPr>
        <w:t>de 202</w:t>
      </w:r>
      <w:r w:rsidR="00F353C7" w:rsidRPr="007D167D">
        <w:rPr>
          <w:rFonts w:ascii="Arial" w:hAnsi="Arial" w:cs="Arial"/>
        </w:rPr>
        <w:t>4</w:t>
      </w:r>
      <w:r w:rsidR="006E735E" w:rsidRPr="007D167D">
        <w:rPr>
          <w:rFonts w:ascii="Arial" w:hAnsi="Arial" w:cs="Arial"/>
        </w:rPr>
        <w:t>.</w:t>
      </w:r>
    </w:p>
    <w:tbl>
      <w:tblPr>
        <w:tblW w:w="8828" w:type="dxa"/>
        <w:tblCellMar>
          <w:left w:w="70" w:type="dxa"/>
          <w:right w:w="70" w:type="dxa"/>
        </w:tblCellMar>
        <w:tblLook w:val="04A0" w:firstRow="1" w:lastRow="0" w:firstColumn="1" w:lastColumn="0" w:noHBand="0" w:noVBand="1"/>
      </w:tblPr>
      <w:tblGrid>
        <w:gridCol w:w="5062"/>
        <w:gridCol w:w="1838"/>
        <w:gridCol w:w="1928"/>
      </w:tblGrid>
      <w:tr w:rsidR="00B46D5A" w:rsidRPr="007D167D" w14:paraId="2A2AED49" w14:textId="77777777"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969443" w14:textId="77777777" w:rsidR="00B46D5A" w:rsidRPr="007D167D" w:rsidRDefault="00B46D5A" w:rsidP="00B46D5A">
            <w:pPr>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14:paraId="34C29D04" w14:textId="77777777" w:rsidR="00B46D5A" w:rsidRPr="007D167D" w:rsidRDefault="00B46D5A" w:rsidP="00B46D5A">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F353C7" w:rsidRPr="007D167D">
              <w:rPr>
                <w:rFonts w:ascii="Arial" w:eastAsia="Times New Roman" w:hAnsi="Arial" w:cs="Arial"/>
                <w:b/>
                <w:bCs/>
                <w:color w:val="000000"/>
                <w:lang w:eastAsia="es-MX"/>
              </w:rPr>
              <w:t>4</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14:paraId="290E71A7" w14:textId="77777777" w:rsidR="00B46D5A" w:rsidRPr="007D167D" w:rsidRDefault="00B46D5A" w:rsidP="00B46D5A">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F353C7" w:rsidRPr="007D167D">
              <w:rPr>
                <w:rFonts w:ascii="Arial" w:eastAsia="Times New Roman" w:hAnsi="Arial" w:cs="Arial"/>
                <w:b/>
                <w:bCs/>
                <w:color w:val="000000"/>
                <w:lang w:eastAsia="es-MX"/>
              </w:rPr>
              <w:t>3</w:t>
            </w:r>
          </w:p>
        </w:tc>
      </w:tr>
      <w:tr w:rsidR="00F353C7" w:rsidRPr="007D167D" w14:paraId="604CFDB9" w14:textId="77777777" w:rsidTr="00B46D5A">
        <w:trPr>
          <w:trHeight w:val="226"/>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DDC649" w14:textId="77777777" w:rsidR="00F353C7" w:rsidRPr="007D167D" w:rsidRDefault="00F353C7" w:rsidP="00F353C7">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EFECTIVO</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14:paraId="160CC446" w14:textId="13D65B22"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792F69">
              <w:rPr>
                <w:rFonts w:ascii="Arial" w:eastAsia="Times New Roman" w:hAnsi="Arial" w:cs="Arial"/>
                <w:color w:val="000000"/>
                <w:lang w:eastAsia="es-MX"/>
              </w:rPr>
              <w:t>5</w:t>
            </w:r>
            <w:r w:rsidRPr="007D167D">
              <w:rPr>
                <w:rFonts w:ascii="Arial" w:eastAsia="Times New Roman" w:hAnsi="Arial" w:cs="Arial"/>
                <w:color w:val="000000"/>
                <w:lang w:eastAsia="es-MX"/>
              </w:rPr>
              <w:t>,</w:t>
            </w:r>
            <w:r w:rsidR="00792F69">
              <w:rPr>
                <w:rFonts w:ascii="Arial" w:eastAsia="Times New Roman" w:hAnsi="Arial" w:cs="Arial"/>
                <w:color w:val="000000"/>
                <w:lang w:eastAsia="es-MX"/>
              </w:rPr>
              <w:t>0</w:t>
            </w:r>
            <w:r w:rsidRPr="007D167D">
              <w:rPr>
                <w:rFonts w:ascii="Arial" w:eastAsia="Times New Roman" w:hAnsi="Arial" w:cs="Arial"/>
                <w:color w:val="000000"/>
                <w:lang w:eastAsia="es-MX"/>
              </w:rPr>
              <w:t>00.00</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14:paraId="02D27E89" w14:textId="77777777"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r>
      <w:tr w:rsidR="00F353C7" w:rsidRPr="007D167D" w14:paraId="70FC1E38" w14:textId="77777777"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E85A5" w14:textId="77777777" w:rsidR="00F353C7" w:rsidRPr="007D167D" w:rsidRDefault="00F353C7" w:rsidP="00F353C7">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BANCOS/TESORERÍA</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14:paraId="3649B07B" w14:textId="3EFB87DF"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 </w:t>
            </w:r>
            <w:r w:rsidR="00792F69">
              <w:rPr>
                <w:rFonts w:ascii="Arial" w:eastAsia="Times New Roman" w:hAnsi="Arial" w:cs="Arial"/>
                <w:color w:val="000000"/>
                <w:lang w:eastAsia="es-MX"/>
              </w:rPr>
              <w:t>2</w:t>
            </w:r>
            <w:r w:rsidR="002F268B">
              <w:rPr>
                <w:rFonts w:ascii="Arial" w:eastAsia="Times New Roman" w:hAnsi="Arial" w:cs="Arial"/>
                <w:color w:val="000000"/>
                <w:lang w:eastAsia="es-MX"/>
              </w:rPr>
              <w:t>,</w:t>
            </w:r>
            <w:r w:rsidR="00792F69">
              <w:rPr>
                <w:rFonts w:ascii="Arial" w:eastAsia="Times New Roman" w:hAnsi="Arial" w:cs="Arial"/>
                <w:color w:val="000000"/>
                <w:lang w:eastAsia="es-MX"/>
              </w:rPr>
              <w:t>1</w:t>
            </w:r>
            <w:r w:rsidR="002F268B">
              <w:rPr>
                <w:rFonts w:ascii="Arial" w:eastAsia="Times New Roman" w:hAnsi="Arial" w:cs="Arial"/>
                <w:color w:val="000000"/>
                <w:lang w:eastAsia="es-MX"/>
              </w:rPr>
              <w:t>8</w:t>
            </w:r>
            <w:r w:rsidR="00792F69">
              <w:rPr>
                <w:rFonts w:ascii="Arial" w:eastAsia="Times New Roman" w:hAnsi="Arial" w:cs="Arial"/>
                <w:color w:val="000000"/>
                <w:lang w:eastAsia="es-MX"/>
              </w:rPr>
              <w:t>1</w:t>
            </w:r>
            <w:r w:rsidR="002F268B">
              <w:rPr>
                <w:rFonts w:ascii="Arial" w:eastAsia="Times New Roman" w:hAnsi="Arial" w:cs="Arial"/>
                <w:color w:val="000000"/>
                <w:lang w:eastAsia="es-MX"/>
              </w:rPr>
              <w:t>,</w:t>
            </w:r>
            <w:r w:rsidR="00792F69">
              <w:rPr>
                <w:rFonts w:ascii="Arial" w:eastAsia="Times New Roman" w:hAnsi="Arial" w:cs="Arial"/>
                <w:color w:val="000000"/>
                <w:lang w:eastAsia="es-MX"/>
              </w:rPr>
              <w:t>029</w:t>
            </w:r>
            <w:r w:rsidR="002F268B">
              <w:rPr>
                <w:rFonts w:ascii="Arial" w:eastAsia="Times New Roman" w:hAnsi="Arial" w:cs="Arial"/>
                <w:color w:val="000000"/>
                <w:lang w:eastAsia="es-MX"/>
              </w:rPr>
              <w:t>.</w:t>
            </w:r>
            <w:r w:rsidR="00792F69">
              <w:rPr>
                <w:rFonts w:ascii="Arial" w:eastAsia="Times New Roman" w:hAnsi="Arial" w:cs="Arial"/>
                <w:color w:val="000000"/>
                <w:lang w:eastAsia="es-MX"/>
              </w:rPr>
              <w:t>06</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14:paraId="44043899" w14:textId="77777777"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$ 7,691,410.24</w:t>
            </w:r>
          </w:p>
        </w:tc>
      </w:tr>
      <w:tr w:rsidR="00B46D5A" w:rsidRPr="007D167D" w14:paraId="04CDC7C0" w14:textId="77777777"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2045FA" w14:textId="77777777" w:rsidR="00B46D5A" w:rsidRPr="007D167D" w:rsidRDefault="00B46D5A" w:rsidP="00B46D5A">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EFECTIVO Y EQUIVALENTES</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14:paraId="58295692" w14:textId="04457C38" w:rsidR="00B46D5A" w:rsidRPr="007D167D" w:rsidRDefault="00795F00" w:rsidP="00B46D5A">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792F69">
              <w:rPr>
                <w:rFonts w:ascii="Arial" w:eastAsia="Times New Roman" w:hAnsi="Arial" w:cs="Arial"/>
                <w:b/>
                <w:bCs/>
                <w:color w:val="000000"/>
                <w:lang w:eastAsia="es-MX"/>
              </w:rPr>
              <w:t>2,186,029.06</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14:paraId="44EAF535" w14:textId="77777777" w:rsidR="00B46D5A" w:rsidRPr="007D167D" w:rsidRDefault="00B46D5A" w:rsidP="00B46D5A">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F353C7" w:rsidRPr="007D167D">
              <w:rPr>
                <w:rFonts w:ascii="Arial" w:eastAsia="Times New Roman" w:hAnsi="Arial" w:cs="Arial"/>
                <w:b/>
                <w:bCs/>
                <w:color w:val="000000"/>
                <w:lang w:eastAsia="es-MX"/>
              </w:rPr>
              <w:t>7,691,410.24</w:t>
            </w:r>
          </w:p>
        </w:tc>
      </w:tr>
    </w:tbl>
    <w:p w14:paraId="6574CDE4" w14:textId="77777777" w:rsidR="007B7886" w:rsidRPr="007D167D" w:rsidRDefault="007B7886" w:rsidP="007B7886">
      <w:pPr>
        <w:rPr>
          <w:rFonts w:ascii="Arial" w:hAnsi="Arial" w:cs="Arial"/>
        </w:rPr>
      </w:pPr>
    </w:p>
    <w:tbl>
      <w:tblPr>
        <w:tblpPr w:leftFromText="141" w:rightFromText="141" w:vertAnchor="text" w:horzAnchor="margin" w:tblpY="132"/>
        <w:tblW w:w="4390" w:type="dxa"/>
        <w:tblCellMar>
          <w:left w:w="70" w:type="dxa"/>
          <w:right w:w="70" w:type="dxa"/>
        </w:tblCellMar>
        <w:tblLook w:val="04A0" w:firstRow="1" w:lastRow="0" w:firstColumn="1" w:lastColumn="0" w:noHBand="0" w:noVBand="1"/>
      </w:tblPr>
      <w:tblGrid>
        <w:gridCol w:w="2547"/>
        <w:gridCol w:w="1843"/>
      </w:tblGrid>
      <w:tr w:rsidR="007B7886" w:rsidRPr="007D167D" w14:paraId="2804CAE4" w14:textId="77777777" w:rsidTr="002F268B">
        <w:trPr>
          <w:trHeight w:val="30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860F" w14:textId="77777777" w:rsidR="007B7886" w:rsidRPr="007D167D" w:rsidRDefault="007B7886" w:rsidP="007B7886">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Banco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22CC4F" w14:textId="77777777" w:rsidR="007B7886" w:rsidRPr="007D167D" w:rsidRDefault="007B7886" w:rsidP="007B7886">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7B7886" w:rsidRPr="007D167D" w14:paraId="234025D6" w14:textId="77777777" w:rsidTr="002F268B">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5EA6" w14:textId="77777777" w:rsidR="007B7886" w:rsidRPr="007D167D" w:rsidRDefault="007B7886" w:rsidP="007B788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Banamex</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83EDA2" w14:textId="77777777" w:rsidR="007B7886" w:rsidRPr="007D167D" w:rsidRDefault="007B7886" w:rsidP="007B7886">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FD6C4F" w:rsidRPr="007D167D">
              <w:rPr>
                <w:rFonts w:ascii="Arial" w:eastAsia="Times New Roman" w:hAnsi="Arial" w:cs="Arial"/>
                <w:color w:val="000000"/>
                <w:lang w:eastAsia="es-MX"/>
              </w:rPr>
              <w:t>1,899.82</w:t>
            </w:r>
            <w:r w:rsidRPr="007D167D">
              <w:rPr>
                <w:rFonts w:ascii="Arial" w:eastAsia="Times New Roman" w:hAnsi="Arial" w:cs="Arial"/>
                <w:color w:val="000000"/>
                <w:lang w:eastAsia="es-MX"/>
              </w:rPr>
              <w:t xml:space="preserve">   </w:t>
            </w:r>
            <w:r w:rsidR="00876AAF" w:rsidRPr="007D167D">
              <w:rPr>
                <w:rFonts w:ascii="Arial" w:eastAsia="Times New Roman" w:hAnsi="Arial" w:cs="Arial"/>
                <w:color w:val="000000"/>
                <w:lang w:eastAsia="es-MX"/>
              </w:rPr>
              <w:t xml:space="preserve">  </w:t>
            </w:r>
            <w:r w:rsidRPr="007D167D">
              <w:rPr>
                <w:rFonts w:ascii="Arial" w:eastAsia="Times New Roman" w:hAnsi="Arial" w:cs="Arial"/>
                <w:color w:val="000000"/>
                <w:lang w:eastAsia="es-MX"/>
              </w:rPr>
              <w:t xml:space="preserve">   </w:t>
            </w:r>
          </w:p>
        </w:tc>
      </w:tr>
      <w:tr w:rsidR="007B7886" w:rsidRPr="007D167D" w14:paraId="22649E54" w14:textId="77777777" w:rsidTr="002F268B">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84F3E" w14:textId="77777777" w:rsidR="007B7886" w:rsidRPr="007D167D" w:rsidRDefault="007B7886" w:rsidP="007B788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Santander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04E8D2" w14:textId="3F3CBEF2" w:rsidR="007B7886" w:rsidRPr="007D167D" w:rsidRDefault="00876AAF" w:rsidP="007B7886">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795F00" w:rsidRPr="007D167D">
              <w:rPr>
                <w:rFonts w:ascii="Arial" w:eastAsia="Times New Roman" w:hAnsi="Arial" w:cs="Arial"/>
                <w:color w:val="000000"/>
                <w:lang w:eastAsia="es-MX"/>
              </w:rPr>
              <w:t>$</w:t>
            </w:r>
            <w:r w:rsidR="002F268B">
              <w:rPr>
                <w:rFonts w:ascii="Arial" w:eastAsia="Times New Roman" w:hAnsi="Arial" w:cs="Arial"/>
                <w:color w:val="000000"/>
                <w:lang w:eastAsia="es-MX"/>
              </w:rPr>
              <w:t xml:space="preserve"> </w:t>
            </w:r>
            <w:r w:rsidR="00792F69">
              <w:rPr>
                <w:rFonts w:ascii="Arial" w:eastAsia="Times New Roman" w:hAnsi="Arial" w:cs="Arial"/>
                <w:color w:val="000000"/>
                <w:lang w:eastAsia="es-MX"/>
              </w:rPr>
              <w:t>2,179,129.24</w:t>
            </w:r>
          </w:p>
        </w:tc>
      </w:tr>
      <w:tr w:rsidR="007B7886" w:rsidRPr="007D167D" w14:paraId="68729199" w14:textId="77777777" w:rsidTr="002F268B">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AAE6C" w14:textId="77777777" w:rsidR="007B7886" w:rsidRPr="007D167D" w:rsidRDefault="007B7886" w:rsidP="007B7886">
            <w:pPr>
              <w:tabs>
                <w:tab w:val="right" w:pos="9990"/>
                <w:tab w:val="right" w:pos="10557"/>
              </w:tabs>
              <w:spacing w:after="0" w:line="240" w:lineRule="auto"/>
              <w:rPr>
                <w:rFonts w:ascii="Arial" w:eastAsia="Times New Roman" w:hAnsi="Arial" w:cs="Arial"/>
                <w:b/>
                <w:color w:val="000000"/>
                <w:lang w:eastAsia="es-MX"/>
              </w:rPr>
            </w:pPr>
            <w:r w:rsidRPr="007D167D">
              <w:rPr>
                <w:rFonts w:ascii="Arial" w:eastAsia="Times New Roman" w:hAnsi="Arial" w:cs="Arial"/>
                <w:b/>
                <w:bCs/>
                <w:color w:val="000000"/>
                <w:lang w:eastAsia="es-MX"/>
              </w:rPr>
              <w:t>Suma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FA217A9" w14:textId="12E437B0" w:rsidR="007B7886" w:rsidRPr="007D167D" w:rsidRDefault="00795F00" w:rsidP="007B7886">
            <w:pPr>
              <w:tabs>
                <w:tab w:val="right" w:pos="9990"/>
                <w:tab w:val="right" w:pos="10557"/>
              </w:tabs>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792F69">
              <w:rPr>
                <w:rFonts w:ascii="Arial" w:eastAsia="Times New Roman" w:hAnsi="Arial" w:cs="Arial"/>
                <w:b/>
                <w:color w:val="000000"/>
                <w:lang w:eastAsia="es-MX"/>
              </w:rPr>
              <w:t>2,181,029.06</w:t>
            </w:r>
          </w:p>
        </w:tc>
      </w:tr>
    </w:tbl>
    <w:p w14:paraId="0E48874E" w14:textId="77777777" w:rsidR="007B7886" w:rsidRPr="007D167D" w:rsidRDefault="007B7886" w:rsidP="007B7886">
      <w:pPr>
        <w:rPr>
          <w:rFonts w:ascii="Arial" w:hAnsi="Arial" w:cs="Arial"/>
        </w:rPr>
      </w:pPr>
    </w:p>
    <w:p w14:paraId="0F7B8452" w14:textId="77777777" w:rsidR="007B7886" w:rsidRPr="007D167D" w:rsidRDefault="007B7886" w:rsidP="007B7886">
      <w:pPr>
        <w:rPr>
          <w:rFonts w:ascii="Arial" w:hAnsi="Arial" w:cs="Arial"/>
        </w:rPr>
      </w:pPr>
    </w:p>
    <w:p w14:paraId="108FEE1F" w14:textId="77777777" w:rsidR="007B7886" w:rsidRPr="007D167D" w:rsidRDefault="007B7886" w:rsidP="007B7886">
      <w:pPr>
        <w:rPr>
          <w:rFonts w:ascii="Arial" w:hAnsi="Arial" w:cs="Arial"/>
        </w:rPr>
      </w:pPr>
    </w:p>
    <w:p w14:paraId="7CAED4CE" w14:textId="77777777" w:rsidR="007B7886" w:rsidRPr="007D167D" w:rsidRDefault="007B7886" w:rsidP="007B7886">
      <w:pPr>
        <w:rPr>
          <w:rFonts w:ascii="Arial" w:hAnsi="Arial" w:cs="Arial"/>
        </w:rPr>
      </w:pPr>
    </w:p>
    <w:p w14:paraId="240A2D97" w14:textId="77777777" w:rsidR="007B7886" w:rsidRPr="007D167D" w:rsidRDefault="007B7886" w:rsidP="007B7886">
      <w:pPr>
        <w:rPr>
          <w:rFonts w:ascii="Arial" w:hAnsi="Arial" w:cs="Arial"/>
          <w:b/>
        </w:rPr>
      </w:pPr>
      <w:r w:rsidRPr="007D167D">
        <w:rPr>
          <w:rFonts w:ascii="Arial" w:hAnsi="Arial" w:cs="Arial"/>
          <w:b/>
        </w:rPr>
        <w:t>Bancos/Tesorería</w:t>
      </w:r>
    </w:p>
    <w:p w14:paraId="3583B0C7" w14:textId="77777777" w:rsidR="007B7886" w:rsidRPr="007D167D" w:rsidRDefault="007B7886" w:rsidP="007B7886">
      <w:pPr>
        <w:jc w:val="both"/>
        <w:rPr>
          <w:rFonts w:ascii="Arial" w:hAnsi="Arial" w:cs="Arial"/>
        </w:rPr>
      </w:pPr>
      <w:r w:rsidRPr="007D167D">
        <w:rPr>
          <w:rFonts w:ascii="Arial" w:hAnsi="Arial" w:cs="Arial"/>
        </w:rPr>
        <w:t>Las cuentas bancarias que maneja el INSTITUTO TECNOL</w:t>
      </w:r>
      <w:r w:rsidR="005D2269" w:rsidRPr="007D167D">
        <w:rPr>
          <w:rFonts w:ascii="Arial" w:hAnsi="Arial" w:cs="Arial"/>
        </w:rPr>
        <w:t>Ó</w:t>
      </w:r>
      <w:r w:rsidRPr="007D167D">
        <w:rPr>
          <w:rFonts w:ascii="Arial" w:hAnsi="Arial" w:cs="Arial"/>
        </w:rPr>
        <w:t>GICO SUPERIOR DE PUERTO PEÑASCO con instituciones Banamex y</w:t>
      </w:r>
      <w:r w:rsidR="00795F00" w:rsidRPr="007D167D">
        <w:rPr>
          <w:rFonts w:ascii="Arial" w:hAnsi="Arial" w:cs="Arial"/>
        </w:rPr>
        <w:t xml:space="preserve"> </w:t>
      </w:r>
      <w:r w:rsidRPr="007D167D">
        <w:rPr>
          <w:rFonts w:ascii="Arial" w:hAnsi="Arial" w:cs="Arial"/>
        </w:rPr>
        <w:t>Santander</w:t>
      </w:r>
      <w:r w:rsidR="00795F00" w:rsidRPr="007D167D">
        <w:rPr>
          <w:rFonts w:ascii="Arial" w:hAnsi="Arial" w:cs="Arial"/>
        </w:rPr>
        <w:t xml:space="preserve"> </w:t>
      </w:r>
      <w:r w:rsidRPr="007D167D">
        <w:rPr>
          <w:rFonts w:ascii="Arial" w:hAnsi="Arial" w:cs="Arial"/>
        </w:rPr>
        <w:t>cerraron con saldos que se detallan a continuación</w:t>
      </w:r>
      <w:r w:rsidR="005D2269" w:rsidRPr="007D167D">
        <w:rPr>
          <w:rFonts w:ascii="Arial" w:hAnsi="Arial" w:cs="Arial"/>
        </w:rPr>
        <w:t>:</w:t>
      </w:r>
    </w:p>
    <w:tbl>
      <w:tblPr>
        <w:tblStyle w:val="Tablaconcuadrcula"/>
        <w:tblW w:w="0" w:type="auto"/>
        <w:jc w:val="center"/>
        <w:tblLook w:val="04A0" w:firstRow="1" w:lastRow="0" w:firstColumn="1" w:lastColumn="0" w:noHBand="0" w:noVBand="1"/>
      </w:tblPr>
      <w:tblGrid>
        <w:gridCol w:w="5807"/>
        <w:gridCol w:w="1701"/>
      </w:tblGrid>
      <w:tr w:rsidR="007B7886" w:rsidRPr="007D167D" w14:paraId="31EF6F97" w14:textId="77777777" w:rsidTr="00EC7248">
        <w:trPr>
          <w:trHeight w:val="253"/>
          <w:jc w:val="center"/>
        </w:trPr>
        <w:tc>
          <w:tcPr>
            <w:tcW w:w="5807" w:type="dxa"/>
            <w:vAlign w:val="bottom"/>
          </w:tcPr>
          <w:p w14:paraId="1821A19B" w14:textId="77777777" w:rsidR="007B7886" w:rsidRPr="003C4BA8" w:rsidRDefault="007B7886" w:rsidP="00712266">
            <w:pPr>
              <w:tabs>
                <w:tab w:val="right" w:pos="9990"/>
                <w:tab w:val="right" w:pos="10557"/>
              </w:tabs>
              <w:ind w:left="22"/>
              <w:jc w:val="center"/>
              <w:rPr>
                <w:rFonts w:ascii="Arial" w:eastAsia="Times New Roman" w:hAnsi="Arial" w:cs="Arial"/>
                <w:b/>
                <w:bCs/>
                <w:color w:val="000000"/>
                <w:lang w:eastAsia="es-MX"/>
              </w:rPr>
            </w:pPr>
            <w:r w:rsidRPr="003C4BA8">
              <w:rPr>
                <w:rFonts w:ascii="Arial" w:eastAsia="Times New Roman" w:hAnsi="Arial" w:cs="Arial"/>
                <w:b/>
                <w:bCs/>
                <w:color w:val="000000"/>
                <w:lang w:eastAsia="es-MX"/>
              </w:rPr>
              <w:t>Banco</w:t>
            </w:r>
          </w:p>
        </w:tc>
        <w:tc>
          <w:tcPr>
            <w:tcW w:w="1701" w:type="dxa"/>
            <w:tcBorders>
              <w:bottom w:val="single" w:sz="4" w:space="0" w:color="auto"/>
            </w:tcBorders>
            <w:vAlign w:val="bottom"/>
          </w:tcPr>
          <w:p w14:paraId="5D416C95" w14:textId="77777777" w:rsidR="007B7886" w:rsidRPr="003C4BA8" w:rsidRDefault="007B7886" w:rsidP="00712266">
            <w:pPr>
              <w:tabs>
                <w:tab w:val="right" w:pos="9990"/>
                <w:tab w:val="right" w:pos="10557"/>
              </w:tabs>
              <w:ind w:left="91" w:firstLine="82"/>
              <w:jc w:val="center"/>
              <w:rPr>
                <w:rFonts w:ascii="Arial" w:eastAsia="Times New Roman" w:hAnsi="Arial" w:cs="Arial"/>
                <w:b/>
                <w:bCs/>
                <w:color w:val="000000"/>
                <w:lang w:eastAsia="es-MX"/>
              </w:rPr>
            </w:pPr>
            <w:r w:rsidRPr="003C4BA8">
              <w:rPr>
                <w:rFonts w:ascii="Arial" w:eastAsia="Times New Roman" w:hAnsi="Arial" w:cs="Arial"/>
                <w:b/>
                <w:bCs/>
                <w:color w:val="000000"/>
                <w:lang w:eastAsia="es-MX"/>
              </w:rPr>
              <w:t>Importe</w:t>
            </w:r>
          </w:p>
        </w:tc>
      </w:tr>
      <w:tr w:rsidR="00876AAF" w:rsidRPr="007D167D" w14:paraId="49678CA7" w14:textId="77777777" w:rsidTr="00792F69">
        <w:trPr>
          <w:trHeight w:val="290"/>
          <w:jc w:val="center"/>
        </w:trPr>
        <w:tc>
          <w:tcPr>
            <w:tcW w:w="5807" w:type="dxa"/>
            <w:vAlign w:val="bottom"/>
          </w:tcPr>
          <w:p w14:paraId="4998B711" w14:textId="748E580D"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Banamex Cta. 7664438 Estatal</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B3DE65" w14:textId="77777777" w:rsidR="00876AAF" w:rsidRPr="003C4BA8" w:rsidRDefault="005D2269" w:rsidP="00876AAF">
            <w:pPr>
              <w:jc w:val="right"/>
              <w:rPr>
                <w:rFonts w:ascii="Arial" w:hAnsi="Arial" w:cs="Arial"/>
                <w:bCs/>
              </w:rPr>
            </w:pPr>
            <w:r w:rsidRPr="003C4BA8">
              <w:rPr>
                <w:rFonts w:ascii="Arial" w:hAnsi="Arial" w:cs="Arial"/>
                <w:bCs/>
              </w:rPr>
              <w:t xml:space="preserve">$ </w:t>
            </w:r>
            <w:r w:rsidR="002A766E" w:rsidRPr="003C4BA8">
              <w:rPr>
                <w:rFonts w:ascii="Arial" w:hAnsi="Arial" w:cs="Arial"/>
                <w:bCs/>
              </w:rPr>
              <w:t>0.00</w:t>
            </w:r>
          </w:p>
        </w:tc>
      </w:tr>
      <w:tr w:rsidR="00876AAF" w:rsidRPr="007D167D" w14:paraId="52ACA558" w14:textId="77777777" w:rsidTr="00EC7248">
        <w:trPr>
          <w:trHeight w:val="253"/>
          <w:jc w:val="center"/>
        </w:trPr>
        <w:tc>
          <w:tcPr>
            <w:tcW w:w="5807" w:type="dxa"/>
            <w:vAlign w:val="bottom"/>
          </w:tcPr>
          <w:p w14:paraId="248BB2D8" w14:textId="06FE7069"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Banamex Cta. 7666384 Ingreso Propio</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58E096" w14:textId="77777777" w:rsidR="00876AAF" w:rsidRPr="003C4BA8" w:rsidRDefault="005D2269" w:rsidP="00876AAF">
            <w:pPr>
              <w:jc w:val="right"/>
              <w:rPr>
                <w:rFonts w:ascii="Arial" w:hAnsi="Arial" w:cs="Arial"/>
                <w:bCs/>
              </w:rPr>
            </w:pPr>
            <w:r w:rsidRPr="003C4BA8">
              <w:rPr>
                <w:rFonts w:ascii="Arial" w:hAnsi="Arial" w:cs="Arial"/>
                <w:bCs/>
              </w:rPr>
              <w:t>$</w:t>
            </w:r>
            <w:r w:rsidR="00B944A1" w:rsidRPr="003C4BA8">
              <w:rPr>
                <w:rFonts w:ascii="Arial" w:hAnsi="Arial" w:cs="Arial"/>
                <w:bCs/>
              </w:rPr>
              <w:t xml:space="preserve"> </w:t>
            </w:r>
            <w:r w:rsidR="004B6675" w:rsidRPr="003C4BA8">
              <w:rPr>
                <w:rFonts w:ascii="Arial" w:hAnsi="Arial" w:cs="Arial"/>
                <w:bCs/>
              </w:rPr>
              <w:t>1,899.82</w:t>
            </w:r>
          </w:p>
        </w:tc>
      </w:tr>
      <w:tr w:rsidR="00876AAF" w:rsidRPr="007D167D" w14:paraId="6ADF80B4" w14:textId="77777777" w:rsidTr="00EC7248">
        <w:trPr>
          <w:trHeight w:val="238"/>
          <w:jc w:val="center"/>
        </w:trPr>
        <w:tc>
          <w:tcPr>
            <w:tcW w:w="5807" w:type="dxa"/>
            <w:vAlign w:val="bottom"/>
          </w:tcPr>
          <w:p w14:paraId="44500C6A" w14:textId="6A2B2A08"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Banamex Cta. 7669286 Federal</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92A7B" w14:textId="77777777" w:rsidR="00876AAF" w:rsidRPr="003C4BA8" w:rsidRDefault="005D2269" w:rsidP="00876AAF">
            <w:pPr>
              <w:jc w:val="right"/>
              <w:rPr>
                <w:rFonts w:ascii="Arial" w:hAnsi="Arial" w:cs="Arial"/>
                <w:bCs/>
              </w:rPr>
            </w:pPr>
            <w:r w:rsidRPr="003C4BA8">
              <w:rPr>
                <w:rFonts w:ascii="Arial" w:hAnsi="Arial" w:cs="Arial"/>
                <w:bCs/>
              </w:rPr>
              <w:t xml:space="preserve">$ </w:t>
            </w:r>
            <w:r w:rsidR="00876AAF" w:rsidRPr="003C4BA8">
              <w:rPr>
                <w:rFonts w:ascii="Arial" w:hAnsi="Arial" w:cs="Arial"/>
                <w:bCs/>
              </w:rPr>
              <w:t>0</w:t>
            </w:r>
            <w:r w:rsidR="00B944A1" w:rsidRPr="003C4BA8">
              <w:rPr>
                <w:rFonts w:ascii="Arial" w:hAnsi="Arial" w:cs="Arial"/>
                <w:bCs/>
              </w:rPr>
              <w:t>.00</w:t>
            </w:r>
          </w:p>
        </w:tc>
      </w:tr>
      <w:tr w:rsidR="00876AAF" w:rsidRPr="007D167D" w14:paraId="552B7586" w14:textId="77777777" w:rsidTr="00EC7248">
        <w:trPr>
          <w:trHeight w:val="253"/>
          <w:jc w:val="center"/>
        </w:trPr>
        <w:tc>
          <w:tcPr>
            <w:tcW w:w="5807" w:type="dxa"/>
            <w:vAlign w:val="bottom"/>
          </w:tcPr>
          <w:p w14:paraId="1B59794C" w14:textId="198DAB8E"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 xml:space="preserve">Banamex Cta. 7710642 </w:t>
            </w:r>
            <w:r w:rsidR="004A4211" w:rsidRPr="003C4BA8">
              <w:rPr>
                <w:rFonts w:ascii="Arial" w:eastAsia="Times New Roman" w:hAnsi="Arial" w:cs="Arial"/>
                <w:color w:val="000000"/>
                <w:lang w:eastAsia="es-MX"/>
              </w:rPr>
              <w:t xml:space="preserve">Ingreso </w:t>
            </w:r>
            <w:r w:rsidRPr="003C4BA8">
              <w:rPr>
                <w:rFonts w:ascii="Arial" w:eastAsia="Times New Roman" w:hAnsi="Arial" w:cs="Arial"/>
                <w:color w:val="000000"/>
                <w:lang w:eastAsia="es-MX"/>
              </w:rPr>
              <w:t>Propio</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F0E7B" w14:textId="2F678155" w:rsidR="00876AAF" w:rsidRPr="003C4BA8" w:rsidRDefault="005D2269" w:rsidP="00876AAF">
            <w:pPr>
              <w:jc w:val="right"/>
              <w:rPr>
                <w:rFonts w:ascii="Arial" w:hAnsi="Arial" w:cs="Arial"/>
                <w:bCs/>
              </w:rPr>
            </w:pPr>
            <w:r w:rsidRPr="003C4BA8">
              <w:rPr>
                <w:rFonts w:ascii="Arial" w:hAnsi="Arial" w:cs="Arial"/>
                <w:bCs/>
              </w:rPr>
              <w:t xml:space="preserve">$ </w:t>
            </w:r>
            <w:r w:rsidR="00876AAF" w:rsidRPr="003C4BA8">
              <w:rPr>
                <w:rFonts w:ascii="Arial" w:hAnsi="Arial" w:cs="Arial"/>
                <w:bCs/>
              </w:rPr>
              <w:t>0</w:t>
            </w:r>
            <w:r w:rsidR="00B944A1" w:rsidRPr="003C4BA8">
              <w:rPr>
                <w:rFonts w:ascii="Arial" w:hAnsi="Arial" w:cs="Arial"/>
                <w:bCs/>
              </w:rPr>
              <w:t>.00</w:t>
            </w:r>
          </w:p>
        </w:tc>
      </w:tr>
      <w:tr w:rsidR="00876AAF" w:rsidRPr="007D167D" w14:paraId="06D4F278" w14:textId="77777777" w:rsidTr="00EC7248">
        <w:trPr>
          <w:trHeight w:val="238"/>
          <w:jc w:val="center"/>
        </w:trPr>
        <w:tc>
          <w:tcPr>
            <w:tcW w:w="5807" w:type="dxa"/>
            <w:vAlign w:val="bottom"/>
          </w:tcPr>
          <w:p w14:paraId="7F4884A5" w14:textId="6AFB2393"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Santander Cta. 65-50616328-1 Federal</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15AE85" w14:textId="77777777" w:rsidR="00876AAF" w:rsidRPr="003C4BA8" w:rsidRDefault="005D2269" w:rsidP="00876AAF">
            <w:pPr>
              <w:jc w:val="right"/>
              <w:rPr>
                <w:rFonts w:ascii="Arial" w:hAnsi="Arial" w:cs="Arial"/>
                <w:bCs/>
              </w:rPr>
            </w:pPr>
            <w:r w:rsidRPr="003C4BA8">
              <w:rPr>
                <w:rFonts w:ascii="Arial" w:hAnsi="Arial" w:cs="Arial"/>
                <w:bCs/>
              </w:rPr>
              <w:t>$ 9,534.84</w:t>
            </w:r>
          </w:p>
        </w:tc>
      </w:tr>
      <w:tr w:rsidR="00876AAF" w:rsidRPr="007D167D" w14:paraId="375C92C0" w14:textId="77777777" w:rsidTr="00EC7248">
        <w:trPr>
          <w:trHeight w:val="253"/>
          <w:jc w:val="center"/>
        </w:trPr>
        <w:tc>
          <w:tcPr>
            <w:tcW w:w="5807" w:type="dxa"/>
            <w:vAlign w:val="bottom"/>
          </w:tcPr>
          <w:p w14:paraId="3266AA61" w14:textId="4CD3CDE3"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Santander Cta. 22-00058681-8 Esta</w:t>
            </w:r>
            <w:r w:rsidR="004A4211" w:rsidRPr="003C4BA8">
              <w:rPr>
                <w:rFonts w:ascii="Arial" w:eastAsia="Times New Roman" w:hAnsi="Arial" w:cs="Arial"/>
                <w:color w:val="000000"/>
                <w:lang w:eastAsia="es-MX"/>
              </w:rPr>
              <w:t>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31B57" w14:textId="77777777" w:rsidR="00876AAF" w:rsidRPr="003C4BA8" w:rsidRDefault="005D2269" w:rsidP="00876AAF">
            <w:pPr>
              <w:jc w:val="right"/>
              <w:rPr>
                <w:rFonts w:ascii="Arial" w:hAnsi="Arial" w:cs="Arial"/>
                <w:bCs/>
              </w:rPr>
            </w:pPr>
            <w:r w:rsidRPr="003C4BA8">
              <w:rPr>
                <w:rFonts w:ascii="Arial" w:hAnsi="Arial" w:cs="Arial"/>
                <w:bCs/>
              </w:rPr>
              <w:t>$ 114,575.50</w:t>
            </w:r>
          </w:p>
        </w:tc>
      </w:tr>
      <w:tr w:rsidR="00876AAF" w:rsidRPr="007D167D" w14:paraId="4F434235" w14:textId="77777777" w:rsidTr="00EC7248">
        <w:trPr>
          <w:trHeight w:val="280"/>
          <w:jc w:val="center"/>
        </w:trPr>
        <w:tc>
          <w:tcPr>
            <w:tcW w:w="5807" w:type="dxa"/>
            <w:vAlign w:val="bottom"/>
          </w:tcPr>
          <w:p w14:paraId="7576A7CA" w14:textId="3F90B90F"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Santander Cta. 22-00058679-2 Ingreso Propio</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FDAA1" w14:textId="521E764B" w:rsidR="00876AAF" w:rsidRPr="003C4BA8" w:rsidRDefault="00B944A1" w:rsidP="00876AAF">
            <w:pPr>
              <w:jc w:val="right"/>
              <w:rPr>
                <w:rFonts w:ascii="Arial" w:hAnsi="Arial" w:cs="Arial"/>
                <w:bCs/>
              </w:rPr>
            </w:pPr>
            <w:r w:rsidRPr="003C4BA8">
              <w:rPr>
                <w:rFonts w:ascii="Arial" w:hAnsi="Arial" w:cs="Arial"/>
                <w:bCs/>
              </w:rPr>
              <w:t xml:space="preserve">$ </w:t>
            </w:r>
            <w:r w:rsidR="003C4BA8">
              <w:rPr>
                <w:rFonts w:ascii="Arial" w:hAnsi="Arial" w:cs="Arial"/>
                <w:bCs/>
              </w:rPr>
              <w:t>-13,688.60</w:t>
            </w:r>
          </w:p>
        </w:tc>
      </w:tr>
      <w:tr w:rsidR="00876AAF" w:rsidRPr="007D167D" w14:paraId="19663474" w14:textId="77777777" w:rsidTr="00EC7248">
        <w:trPr>
          <w:trHeight w:val="253"/>
          <w:jc w:val="center"/>
        </w:trPr>
        <w:tc>
          <w:tcPr>
            <w:tcW w:w="5807" w:type="dxa"/>
            <w:vAlign w:val="bottom"/>
          </w:tcPr>
          <w:p w14:paraId="624FBE6C" w14:textId="2627FBFD"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 xml:space="preserve">Santander Cta. 22-00058680-4 </w:t>
            </w:r>
            <w:r w:rsidR="004A4211" w:rsidRPr="003C4BA8">
              <w:rPr>
                <w:rFonts w:ascii="Arial" w:eastAsia="Times New Roman" w:hAnsi="Arial" w:cs="Arial"/>
                <w:color w:val="000000"/>
                <w:lang w:eastAsia="es-MX"/>
              </w:rPr>
              <w:t xml:space="preserve">Ingreso </w:t>
            </w:r>
            <w:r w:rsidRPr="003C4BA8">
              <w:rPr>
                <w:rFonts w:ascii="Arial" w:eastAsia="Times New Roman" w:hAnsi="Arial" w:cs="Arial"/>
                <w:color w:val="000000"/>
                <w:lang w:eastAsia="es-MX"/>
              </w:rPr>
              <w:t>Propio</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4926E7" w14:textId="77777777" w:rsidR="00876AAF" w:rsidRPr="003C4BA8" w:rsidRDefault="005D2269" w:rsidP="00876AAF">
            <w:pPr>
              <w:jc w:val="right"/>
              <w:rPr>
                <w:rFonts w:ascii="Arial" w:hAnsi="Arial" w:cs="Arial"/>
                <w:bCs/>
              </w:rPr>
            </w:pPr>
            <w:r w:rsidRPr="003C4BA8">
              <w:rPr>
                <w:rFonts w:ascii="Arial" w:hAnsi="Arial" w:cs="Arial"/>
                <w:bCs/>
              </w:rPr>
              <w:t xml:space="preserve">$ </w:t>
            </w:r>
            <w:r w:rsidR="00876AAF" w:rsidRPr="003C4BA8">
              <w:rPr>
                <w:rFonts w:ascii="Arial" w:hAnsi="Arial" w:cs="Arial"/>
                <w:bCs/>
              </w:rPr>
              <w:t>20.00</w:t>
            </w:r>
          </w:p>
        </w:tc>
      </w:tr>
      <w:tr w:rsidR="00876AAF" w:rsidRPr="007D167D" w14:paraId="58B5C98D" w14:textId="77777777" w:rsidTr="00EC7248">
        <w:trPr>
          <w:trHeight w:val="238"/>
          <w:jc w:val="center"/>
        </w:trPr>
        <w:tc>
          <w:tcPr>
            <w:tcW w:w="5807" w:type="dxa"/>
            <w:vAlign w:val="bottom"/>
          </w:tcPr>
          <w:p w14:paraId="00F6F307" w14:textId="66FAE7F5" w:rsidR="00876AAF" w:rsidRPr="003C4BA8" w:rsidRDefault="00876AAF" w:rsidP="00876AAF">
            <w:pPr>
              <w:tabs>
                <w:tab w:val="right" w:pos="9990"/>
                <w:tab w:val="right" w:pos="10557"/>
              </w:tabs>
              <w:ind w:left="22"/>
              <w:rPr>
                <w:rFonts w:ascii="Arial" w:eastAsia="Times New Roman" w:hAnsi="Arial" w:cs="Arial"/>
                <w:color w:val="000000"/>
                <w:lang w:eastAsia="es-MX"/>
              </w:rPr>
            </w:pPr>
            <w:r w:rsidRPr="003C4BA8">
              <w:rPr>
                <w:rFonts w:ascii="Arial" w:eastAsia="Times New Roman" w:hAnsi="Arial" w:cs="Arial"/>
                <w:color w:val="000000"/>
                <w:lang w:eastAsia="es-MX"/>
              </w:rPr>
              <w:t>Santander Cta. 65508449890 Ingreso Propio</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D5FF74" w14:textId="31224C90" w:rsidR="00876AAF" w:rsidRPr="003C4BA8" w:rsidRDefault="005D2269" w:rsidP="00876AAF">
            <w:pPr>
              <w:jc w:val="right"/>
              <w:rPr>
                <w:rFonts w:ascii="Arial" w:hAnsi="Arial" w:cs="Arial"/>
                <w:bCs/>
              </w:rPr>
            </w:pPr>
            <w:r w:rsidRPr="003C4BA8">
              <w:rPr>
                <w:rFonts w:ascii="Arial" w:hAnsi="Arial" w:cs="Arial"/>
                <w:bCs/>
              </w:rPr>
              <w:t xml:space="preserve">$ </w:t>
            </w:r>
            <w:r w:rsidR="002F268B" w:rsidRPr="003C4BA8">
              <w:rPr>
                <w:rFonts w:ascii="Arial" w:hAnsi="Arial" w:cs="Arial"/>
                <w:bCs/>
              </w:rPr>
              <w:t>2</w:t>
            </w:r>
            <w:r w:rsidR="003C4BA8">
              <w:rPr>
                <w:rFonts w:ascii="Arial" w:hAnsi="Arial" w:cs="Arial"/>
                <w:bCs/>
              </w:rPr>
              <w:t>1</w:t>
            </w:r>
            <w:r w:rsidR="002F268B" w:rsidRPr="003C4BA8">
              <w:rPr>
                <w:rFonts w:ascii="Arial" w:hAnsi="Arial" w:cs="Arial"/>
                <w:bCs/>
              </w:rPr>
              <w:t>9,1</w:t>
            </w:r>
            <w:r w:rsidR="003C4BA8">
              <w:rPr>
                <w:rFonts w:ascii="Arial" w:hAnsi="Arial" w:cs="Arial"/>
                <w:bCs/>
              </w:rPr>
              <w:t>86</w:t>
            </w:r>
            <w:r w:rsidR="002F268B" w:rsidRPr="003C4BA8">
              <w:rPr>
                <w:rFonts w:ascii="Arial" w:hAnsi="Arial" w:cs="Arial"/>
                <w:bCs/>
              </w:rPr>
              <w:t>.</w:t>
            </w:r>
            <w:r w:rsidR="003C4BA8">
              <w:rPr>
                <w:rFonts w:ascii="Arial" w:hAnsi="Arial" w:cs="Arial"/>
                <w:bCs/>
              </w:rPr>
              <w:t>31</w:t>
            </w:r>
          </w:p>
        </w:tc>
      </w:tr>
      <w:tr w:rsidR="00876AAF" w:rsidRPr="007D167D" w14:paraId="24C522CB" w14:textId="77777777" w:rsidTr="00EC7248">
        <w:trPr>
          <w:trHeight w:val="178"/>
          <w:jc w:val="center"/>
        </w:trPr>
        <w:tc>
          <w:tcPr>
            <w:tcW w:w="5807" w:type="dxa"/>
          </w:tcPr>
          <w:p w14:paraId="51020558" w14:textId="4BB9555E" w:rsidR="00876AAF" w:rsidRPr="003C4BA8" w:rsidRDefault="00876AAF" w:rsidP="00876AAF">
            <w:pPr>
              <w:ind w:left="22"/>
              <w:rPr>
                <w:rFonts w:ascii="Arial" w:hAnsi="Arial" w:cs="Arial"/>
                <w:b/>
              </w:rPr>
            </w:pPr>
            <w:r w:rsidRPr="003C4BA8">
              <w:rPr>
                <w:rFonts w:ascii="Arial" w:eastAsia="Times New Roman" w:hAnsi="Arial" w:cs="Arial"/>
                <w:color w:val="000000"/>
                <w:lang w:eastAsia="es-MX"/>
              </w:rPr>
              <w:t xml:space="preserve">Santander Cta. 22-00059490-4 </w:t>
            </w:r>
            <w:r w:rsidR="004A4211" w:rsidRPr="003C4BA8">
              <w:rPr>
                <w:rFonts w:ascii="Arial" w:eastAsia="Times New Roman" w:hAnsi="Arial" w:cs="Arial"/>
                <w:color w:val="000000"/>
                <w:lang w:eastAsia="es-MX"/>
              </w:rPr>
              <w:t>Estatal.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3DE54" w14:textId="07C78BB1" w:rsidR="00876AAF" w:rsidRPr="003C4BA8" w:rsidRDefault="005D2269" w:rsidP="00876AAF">
            <w:pPr>
              <w:jc w:val="right"/>
              <w:rPr>
                <w:rFonts w:ascii="Arial" w:hAnsi="Arial" w:cs="Arial"/>
                <w:bCs/>
              </w:rPr>
            </w:pPr>
            <w:r w:rsidRPr="003C4BA8">
              <w:rPr>
                <w:rFonts w:ascii="Arial" w:hAnsi="Arial" w:cs="Arial"/>
                <w:bCs/>
              </w:rPr>
              <w:t xml:space="preserve">$ </w:t>
            </w:r>
            <w:r w:rsidR="003C4BA8">
              <w:rPr>
                <w:rFonts w:ascii="Arial" w:hAnsi="Arial" w:cs="Arial"/>
                <w:bCs/>
              </w:rPr>
              <w:t>90,540.78</w:t>
            </w:r>
          </w:p>
        </w:tc>
      </w:tr>
      <w:tr w:rsidR="00963D43" w:rsidRPr="007D167D" w14:paraId="5BFAC509" w14:textId="77777777" w:rsidTr="00EC7248">
        <w:trPr>
          <w:trHeight w:val="282"/>
          <w:jc w:val="center"/>
        </w:trPr>
        <w:tc>
          <w:tcPr>
            <w:tcW w:w="5807" w:type="dxa"/>
          </w:tcPr>
          <w:p w14:paraId="39D49D43" w14:textId="5F2E4348" w:rsidR="00963D43" w:rsidRPr="003C4BA8" w:rsidRDefault="00651FCA" w:rsidP="00876AAF">
            <w:pPr>
              <w:ind w:left="22"/>
              <w:rPr>
                <w:rFonts w:ascii="Arial" w:eastAsia="Times New Roman" w:hAnsi="Arial" w:cs="Arial"/>
                <w:color w:val="000000"/>
                <w:lang w:eastAsia="es-MX"/>
              </w:rPr>
            </w:pPr>
            <w:r w:rsidRPr="003C4BA8">
              <w:rPr>
                <w:rFonts w:ascii="Arial" w:eastAsia="Times New Roman" w:hAnsi="Arial" w:cs="Arial"/>
                <w:color w:val="000000"/>
                <w:lang w:eastAsia="es-MX"/>
              </w:rPr>
              <w:t>Santand</w:t>
            </w:r>
            <w:r w:rsidR="00A21F7D" w:rsidRPr="003C4BA8">
              <w:rPr>
                <w:rFonts w:ascii="Arial" w:eastAsia="Times New Roman" w:hAnsi="Arial" w:cs="Arial"/>
                <w:color w:val="000000"/>
                <w:lang w:eastAsia="es-MX"/>
              </w:rPr>
              <w:t>e</w:t>
            </w:r>
            <w:r w:rsidRPr="003C4BA8">
              <w:rPr>
                <w:rFonts w:ascii="Arial" w:eastAsia="Times New Roman" w:hAnsi="Arial" w:cs="Arial"/>
                <w:color w:val="000000"/>
                <w:lang w:eastAsia="es-MX"/>
              </w:rPr>
              <w:t>r Cta. 18000252887 Productiva Esta</w:t>
            </w:r>
            <w:r w:rsidR="004A4211" w:rsidRPr="003C4BA8">
              <w:rPr>
                <w:rFonts w:ascii="Arial" w:eastAsia="Times New Roman" w:hAnsi="Arial" w:cs="Arial"/>
                <w:color w:val="000000"/>
                <w:lang w:eastAsia="es-MX"/>
              </w:rPr>
              <w:t>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A1F32D" w14:textId="77777777" w:rsidR="00963D43" w:rsidRPr="003C4BA8" w:rsidRDefault="00985C5F" w:rsidP="00876AAF">
            <w:pPr>
              <w:jc w:val="right"/>
              <w:rPr>
                <w:rFonts w:ascii="Arial" w:hAnsi="Arial" w:cs="Arial"/>
                <w:bCs/>
              </w:rPr>
            </w:pPr>
            <w:r w:rsidRPr="003C4BA8">
              <w:rPr>
                <w:rFonts w:ascii="Arial" w:hAnsi="Arial" w:cs="Arial"/>
                <w:bCs/>
              </w:rPr>
              <w:t>$ 0.00</w:t>
            </w:r>
          </w:p>
        </w:tc>
      </w:tr>
      <w:tr w:rsidR="00963D43" w:rsidRPr="007D167D" w14:paraId="55F7C0C5" w14:textId="77777777" w:rsidTr="00EC7248">
        <w:trPr>
          <w:trHeight w:val="258"/>
          <w:jc w:val="center"/>
        </w:trPr>
        <w:tc>
          <w:tcPr>
            <w:tcW w:w="5807" w:type="dxa"/>
          </w:tcPr>
          <w:p w14:paraId="3E65D33F" w14:textId="37DEB2A5" w:rsidR="00963D43" w:rsidRPr="003C4BA8" w:rsidRDefault="00651FCA" w:rsidP="00876AAF">
            <w:pPr>
              <w:ind w:left="22"/>
              <w:rPr>
                <w:rFonts w:ascii="Arial" w:eastAsia="Times New Roman" w:hAnsi="Arial" w:cs="Arial"/>
                <w:color w:val="000000"/>
                <w:lang w:eastAsia="es-MX"/>
              </w:rPr>
            </w:pPr>
            <w:r w:rsidRPr="003C4BA8">
              <w:rPr>
                <w:rFonts w:ascii="Arial" w:eastAsia="Times New Roman" w:hAnsi="Arial" w:cs="Arial"/>
                <w:color w:val="000000"/>
                <w:lang w:eastAsia="es-MX"/>
              </w:rPr>
              <w:t>Santander Cta. 18000252842</w:t>
            </w:r>
            <w:r w:rsidR="00FF7F74" w:rsidRPr="003C4BA8">
              <w:rPr>
                <w:rFonts w:ascii="Arial" w:eastAsia="Times New Roman" w:hAnsi="Arial" w:cs="Arial"/>
                <w:color w:val="000000"/>
                <w:lang w:eastAsia="es-MX"/>
              </w:rPr>
              <w:t xml:space="preserve"> Productiva Federal</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65DDB8" w14:textId="77777777" w:rsidR="00963D43" w:rsidRPr="003C4BA8" w:rsidRDefault="005D2269" w:rsidP="00876AAF">
            <w:pPr>
              <w:jc w:val="right"/>
              <w:rPr>
                <w:rFonts w:ascii="Arial" w:hAnsi="Arial" w:cs="Arial"/>
                <w:bCs/>
              </w:rPr>
            </w:pPr>
            <w:r w:rsidRPr="003C4BA8">
              <w:rPr>
                <w:rFonts w:ascii="Arial" w:hAnsi="Arial" w:cs="Arial"/>
                <w:bCs/>
              </w:rPr>
              <w:t xml:space="preserve">$ </w:t>
            </w:r>
            <w:r w:rsidR="00985C5F" w:rsidRPr="003C4BA8">
              <w:rPr>
                <w:rFonts w:ascii="Arial" w:hAnsi="Arial" w:cs="Arial"/>
                <w:bCs/>
              </w:rPr>
              <w:t>0.00</w:t>
            </w:r>
          </w:p>
        </w:tc>
      </w:tr>
      <w:tr w:rsidR="00985C5F" w:rsidRPr="007D167D" w14:paraId="654FDE07" w14:textId="77777777" w:rsidTr="00EC7248">
        <w:trPr>
          <w:trHeight w:val="290"/>
          <w:jc w:val="center"/>
        </w:trPr>
        <w:tc>
          <w:tcPr>
            <w:tcW w:w="5807" w:type="dxa"/>
          </w:tcPr>
          <w:p w14:paraId="1CAB391C" w14:textId="20265BFF" w:rsidR="00985C5F" w:rsidRPr="003C4BA8" w:rsidRDefault="00985C5F" w:rsidP="00985C5F">
            <w:pPr>
              <w:ind w:left="22"/>
              <w:rPr>
                <w:rFonts w:ascii="Arial" w:eastAsia="Times New Roman" w:hAnsi="Arial" w:cs="Arial"/>
                <w:color w:val="000000"/>
                <w:lang w:eastAsia="es-MX"/>
              </w:rPr>
            </w:pPr>
            <w:r w:rsidRPr="003C4BA8">
              <w:rPr>
                <w:rFonts w:ascii="Arial" w:eastAsia="Times New Roman" w:hAnsi="Arial" w:cs="Arial"/>
                <w:color w:val="000000"/>
                <w:lang w:eastAsia="es-MX"/>
              </w:rPr>
              <w:t xml:space="preserve">Santander Cta. 18000272112 Productiva </w:t>
            </w:r>
            <w:r w:rsidR="004A4211" w:rsidRPr="003C4BA8">
              <w:rPr>
                <w:rFonts w:ascii="Arial" w:eastAsia="Times New Roman" w:hAnsi="Arial" w:cs="Arial"/>
                <w:color w:val="000000"/>
                <w:lang w:eastAsia="es-MX"/>
              </w:rPr>
              <w:t>Estatal.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BA9E17" w14:textId="76A370D8" w:rsidR="00985C5F" w:rsidRPr="003C4BA8" w:rsidRDefault="00985C5F" w:rsidP="00985C5F">
            <w:pPr>
              <w:jc w:val="right"/>
              <w:rPr>
                <w:rFonts w:ascii="Arial" w:hAnsi="Arial" w:cs="Arial"/>
                <w:bCs/>
              </w:rPr>
            </w:pPr>
            <w:r w:rsidRPr="003C4BA8">
              <w:rPr>
                <w:rFonts w:ascii="Arial" w:hAnsi="Arial" w:cs="Arial"/>
                <w:bCs/>
              </w:rPr>
              <w:t xml:space="preserve">$ </w:t>
            </w:r>
            <w:r w:rsidR="003C4BA8">
              <w:rPr>
                <w:rFonts w:ascii="Arial" w:hAnsi="Arial" w:cs="Arial"/>
                <w:bCs/>
              </w:rPr>
              <w:t>1,342,323.89</w:t>
            </w:r>
          </w:p>
        </w:tc>
      </w:tr>
      <w:tr w:rsidR="00985C5F" w:rsidRPr="007D167D" w14:paraId="548C0D32" w14:textId="77777777" w:rsidTr="00EC7248">
        <w:trPr>
          <w:trHeight w:val="266"/>
          <w:jc w:val="center"/>
        </w:trPr>
        <w:tc>
          <w:tcPr>
            <w:tcW w:w="5807" w:type="dxa"/>
          </w:tcPr>
          <w:p w14:paraId="44058E2E" w14:textId="7AA4004D" w:rsidR="00985C5F" w:rsidRPr="003C4BA8" w:rsidRDefault="00985C5F" w:rsidP="00985C5F">
            <w:pPr>
              <w:ind w:left="22"/>
              <w:rPr>
                <w:rFonts w:ascii="Arial" w:eastAsia="Times New Roman" w:hAnsi="Arial" w:cs="Arial"/>
                <w:color w:val="000000"/>
                <w:lang w:eastAsia="es-MX"/>
              </w:rPr>
            </w:pPr>
            <w:r w:rsidRPr="003C4BA8">
              <w:rPr>
                <w:rFonts w:ascii="Arial" w:eastAsia="Times New Roman" w:hAnsi="Arial" w:cs="Arial"/>
                <w:color w:val="000000"/>
                <w:lang w:eastAsia="es-MX"/>
              </w:rPr>
              <w:t>Santander Cta. 18000272097 Productiva Federal</w:t>
            </w:r>
            <w:r w:rsidR="004A4211" w:rsidRPr="003C4BA8">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2C5A2C" w14:textId="433F2544" w:rsidR="00985C5F" w:rsidRPr="003C4BA8" w:rsidRDefault="00985C5F" w:rsidP="00985C5F">
            <w:pPr>
              <w:jc w:val="right"/>
              <w:rPr>
                <w:rFonts w:ascii="Arial" w:hAnsi="Arial" w:cs="Arial"/>
                <w:bCs/>
              </w:rPr>
            </w:pPr>
            <w:r w:rsidRPr="003C4BA8">
              <w:rPr>
                <w:rFonts w:ascii="Arial" w:hAnsi="Arial" w:cs="Arial"/>
                <w:bCs/>
              </w:rPr>
              <w:t xml:space="preserve">$ </w:t>
            </w:r>
            <w:r w:rsidR="003C4BA8">
              <w:rPr>
                <w:rFonts w:ascii="Arial" w:hAnsi="Arial" w:cs="Arial"/>
                <w:bCs/>
              </w:rPr>
              <w:t>416,636.52</w:t>
            </w:r>
          </w:p>
        </w:tc>
      </w:tr>
      <w:tr w:rsidR="00985C5F" w:rsidRPr="007D167D" w14:paraId="7FC9297B" w14:textId="77777777" w:rsidTr="00EC7248">
        <w:trPr>
          <w:trHeight w:val="198"/>
          <w:jc w:val="center"/>
        </w:trPr>
        <w:tc>
          <w:tcPr>
            <w:tcW w:w="5807" w:type="dxa"/>
          </w:tcPr>
          <w:p w14:paraId="1BE30E62" w14:textId="77777777" w:rsidR="00985C5F" w:rsidRPr="007D167D" w:rsidRDefault="00985C5F" w:rsidP="00985C5F">
            <w:pPr>
              <w:ind w:left="22"/>
              <w:jc w:val="right"/>
              <w:rPr>
                <w:rFonts w:ascii="Arial" w:hAnsi="Arial" w:cs="Arial"/>
              </w:rPr>
            </w:pPr>
            <w:r w:rsidRPr="007D167D">
              <w:rPr>
                <w:rFonts w:ascii="Arial" w:hAnsi="Arial" w:cs="Arial"/>
                <w:b/>
              </w:rPr>
              <w:t>Suma</w:t>
            </w:r>
          </w:p>
        </w:tc>
        <w:tc>
          <w:tcPr>
            <w:tcW w:w="1701" w:type="dxa"/>
            <w:tcBorders>
              <w:top w:val="single" w:sz="4" w:space="0" w:color="auto"/>
            </w:tcBorders>
          </w:tcPr>
          <w:p w14:paraId="70AB898F" w14:textId="4BFACBAE" w:rsidR="00985C5F" w:rsidRPr="00EC7248" w:rsidRDefault="002F268B" w:rsidP="00985C5F">
            <w:pPr>
              <w:jc w:val="right"/>
              <w:rPr>
                <w:rFonts w:ascii="Arial" w:hAnsi="Arial" w:cs="Arial"/>
                <w:b/>
                <w:bCs/>
              </w:rPr>
            </w:pPr>
            <w:r w:rsidRPr="002F268B">
              <w:rPr>
                <w:rFonts w:ascii="Arial" w:hAnsi="Arial" w:cs="Arial"/>
                <w:b/>
                <w:bCs/>
              </w:rPr>
              <w:t xml:space="preserve">$ </w:t>
            </w:r>
            <w:r w:rsidR="003C4BA8">
              <w:rPr>
                <w:rFonts w:ascii="Arial" w:hAnsi="Arial" w:cs="Arial"/>
                <w:b/>
                <w:bCs/>
              </w:rPr>
              <w:t>2,181,029.06</w:t>
            </w:r>
          </w:p>
        </w:tc>
      </w:tr>
    </w:tbl>
    <w:p w14:paraId="634961AC" w14:textId="77777777" w:rsidR="007B7886" w:rsidRPr="007D167D" w:rsidRDefault="007B7886" w:rsidP="007B7886">
      <w:pPr>
        <w:jc w:val="both"/>
        <w:rPr>
          <w:rFonts w:ascii="Arial" w:hAnsi="Arial" w:cs="Arial"/>
        </w:rPr>
      </w:pPr>
    </w:p>
    <w:p w14:paraId="1134E56B" w14:textId="77777777" w:rsidR="00712266" w:rsidRPr="007D167D" w:rsidRDefault="00712266" w:rsidP="00712266">
      <w:pPr>
        <w:rPr>
          <w:rFonts w:ascii="Arial" w:hAnsi="Arial" w:cs="Arial"/>
          <w:b/>
        </w:rPr>
      </w:pPr>
      <w:r w:rsidRPr="007D167D">
        <w:rPr>
          <w:rFonts w:ascii="Arial" w:hAnsi="Arial" w:cs="Arial"/>
          <w:b/>
        </w:rPr>
        <w:t>Inversiones Temporales</w:t>
      </w:r>
      <w:r w:rsidRPr="007D167D">
        <w:rPr>
          <w:rFonts w:ascii="Arial" w:hAnsi="Arial" w:cs="Arial"/>
          <w:b/>
        </w:rPr>
        <w:tab/>
      </w:r>
    </w:p>
    <w:p w14:paraId="3551FCDC" w14:textId="77777777" w:rsidR="00152D3E" w:rsidRPr="007D167D" w:rsidRDefault="00712266" w:rsidP="00712266">
      <w:pPr>
        <w:jc w:val="both"/>
        <w:rPr>
          <w:rFonts w:ascii="Arial" w:hAnsi="Arial" w:cs="Arial"/>
        </w:rPr>
      </w:pPr>
      <w:r w:rsidRPr="007D167D">
        <w:rPr>
          <w:rFonts w:ascii="Arial" w:hAnsi="Arial" w:cs="Arial"/>
        </w:rPr>
        <w:t>Representa el monto de efectivo invertido por ENTE/INSTITUTO, la cual se efectúa a plazos que van de inversión a la vista hasta 90 días, su importe se integra por:</w:t>
      </w:r>
    </w:p>
    <w:tbl>
      <w:tblPr>
        <w:tblW w:w="3932" w:type="dxa"/>
        <w:jc w:val="center"/>
        <w:tblCellMar>
          <w:left w:w="70" w:type="dxa"/>
          <w:right w:w="70" w:type="dxa"/>
        </w:tblCellMar>
        <w:tblLook w:val="04A0" w:firstRow="1" w:lastRow="0" w:firstColumn="1" w:lastColumn="0" w:noHBand="0" w:noVBand="1"/>
      </w:tblPr>
      <w:tblGrid>
        <w:gridCol w:w="2915"/>
        <w:gridCol w:w="1581"/>
      </w:tblGrid>
      <w:tr w:rsidR="00712266" w:rsidRPr="007D167D" w14:paraId="5944404F"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463C"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b/>
                <w:bCs/>
                <w:color w:val="000000"/>
                <w:lang w:eastAsia="es-MX"/>
              </w:rPr>
            </w:pPr>
            <w:r w:rsidRPr="007D167D">
              <w:rPr>
                <w:rFonts w:ascii="Arial" w:eastAsia="Times New Roman" w:hAnsi="Arial" w:cs="Arial"/>
                <w:b/>
                <w:bCs/>
                <w:color w:val="000000"/>
                <w:lang w:eastAsia="es-MX"/>
              </w:rPr>
              <w:lastRenderedPageBreak/>
              <w:t>Banco</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2CB93C1F" w14:textId="77777777" w:rsidR="00712266" w:rsidRPr="007D167D"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712266" w:rsidRPr="007D167D" w14:paraId="32AFE5E9"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08BE"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5AB02608"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14E2F18D" w14:textId="77777777" w:rsidTr="00152D3E">
        <w:trPr>
          <w:trHeight w:val="307"/>
          <w:jc w:val="center"/>
        </w:trPr>
        <w:tc>
          <w:tcPr>
            <w:tcW w:w="39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EFCB" w14:textId="77777777" w:rsidR="00712266" w:rsidRPr="007D167D" w:rsidRDefault="00712266" w:rsidP="00152D3E">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NADA QUE INFORMAR EN ESTE APARTADO</w:t>
            </w:r>
          </w:p>
        </w:tc>
      </w:tr>
      <w:tr w:rsidR="00712266" w:rsidRPr="007D167D" w14:paraId="3F24ACE4"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678B"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179D"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0AAD3E80"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6BE9" w14:textId="77777777" w:rsidR="00712266" w:rsidRPr="007D167D"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Suma</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DB59D" w14:textId="77777777" w:rsidR="00712266" w:rsidRPr="007D167D"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lang w:eastAsia="es-MX"/>
              </w:rPr>
            </w:pPr>
          </w:p>
        </w:tc>
      </w:tr>
    </w:tbl>
    <w:p w14:paraId="33436EB8" w14:textId="77777777" w:rsidR="00712266" w:rsidRPr="007D167D" w:rsidRDefault="00712266" w:rsidP="00712266">
      <w:pPr>
        <w:rPr>
          <w:rFonts w:ascii="Arial" w:hAnsi="Arial" w:cs="Arial"/>
        </w:rPr>
      </w:pPr>
    </w:p>
    <w:p w14:paraId="3CFB67DA" w14:textId="77777777" w:rsidR="00712266" w:rsidRPr="007D167D" w:rsidRDefault="00712266" w:rsidP="00712266">
      <w:pPr>
        <w:rPr>
          <w:rFonts w:ascii="Arial" w:hAnsi="Arial" w:cs="Arial"/>
          <w:b/>
        </w:rPr>
      </w:pPr>
      <w:r w:rsidRPr="007D167D">
        <w:rPr>
          <w:rFonts w:ascii="Arial" w:hAnsi="Arial" w:cs="Arial"/>
          <w:b/>
        </w:rPr>
        <w:t>Fondos con Afectación Específica</w:t>
      </w:r>
      <w:r w:rsidRPr="007D167D">
        <w:rPr>
          <w:rFonts w:ascii="Arial" w:hAnsi="Arial" w:cs="Arial"/>
          <w:b/>
        </w:rPr>
        <w:tab/>
      </w:r>
      <w:r w:rsidRPr="007D167D">
        <w:rPr>
          <w:rFonts w:ascii="Arial" w:hAnsi="Arial" w:cs="Arial"/>
          <w:b/>
        </w:rPr>
        <w:tab/>
      </w:r>
      <w:r w:rsidRPr="007D167D">
        <w:rPr>
          <w:rFonts w:ascii="Arial" w:hAnsi="Arial" w:cs="Arial"/>
          <w:b/>
        </w:rPr>
        <w:tab/>
      </w:r>
      <w:r w:rsidRPr="007D167D">
        <w:rPr>
          <w:rFonts w:ascii="Arial" w:hAnsi="Arial" w:cs="Arial"/>
          <w:b/>
        </w:rPr>
        <w:tab/>
      </w:r>
      <w:r w:rsidRPr="007D167D">
        <w:rPr>
          <w:rFonts w:ascii="Arial" w:hAnsi="Arial" w:cs="Arial"/>
          <w:b/>
        </w:rPr>
        <w:tab/>
      </w:r>
    </w:p>
    <w:p w14:paraId="13CBFC53" w14:textId="77777777" w:rsidR="00712266" w:rsidRPr="007D167D" w:rsidRDefault="00712266" w:rsidP="00712266">
      <w:pPr>
        <w:rPr>
          <w:rFonts w:ascii="Arial" w:hAnsi="Arial" w:cs="Arial"/>
        </w:rPr>
      </w:pPr>
      <w:r w:rsidRPr="007D167D">
        <w:rPr>
          <w:rFonts w:ascii="Arial" w:hAnsi="Arial" w:cs="Arial"/>
        </w:rPr>
        <w:t xml:space="preserve">Representan el monto de los fondos con afectación específica que deben financiar determinados gastos o actividades. </w:t>
      </w:r>
    </w:p>
    <w:p w14:paraId="139BC5BC" w14:textId="77777777" w:rsidR="00712266" w:rsidRPr="007D167D" w:rsidRDefault="00712266" w:rsidP="00712266">
      <w:pPr>
        <w:rPr>
          <w:rFonts w:ascii="Arial" w:hAnsi="Arial" w:cs="Arial"/>
        </w:rPr>
      </w:pPr>
      <w:r w:rsidRPr="007D167D">
        <w:rPr>
          <w:rFonts w:ascii="Arial" w:hAnsi="Arial" w:cs="Arial"/>
        </w:rPr>
        <w:t>Caja chica</w:t>
      </w:r>
    </w:p>
    <w:tbl>
      <w:tblPr>
        <w:tblW w:w="6605" w:type="dxa"/>
        <w:jc w:val="center"/>
        <w:tblCellMar>
          <w:left w:w="70" w:type="dxa"/>
          <w:right w:w="70" w:type="dxa"/>
        </w:tblCellMar>
        <w:tblLook w:val="04A0" w:firstRow="1" w:lastRow="0" w:firstColumn="1" w:lastColumn="0" w:noHBand="0" w:noVBand="1"/>
      </w:tblPr>
      <w:tblGrid>
        <w:gridCol w:w="686"/>
        <w:gridCol w:w="686"/>
        <w:gridCol w:w="683"/>
        <w:gridCol w:w="681"/>
        <w:gridCol w:w="790"/>
        <w:gridCol w:w="1097"/>
        <w:gridCol w:w="656"/>
        <w:gridCol w:w="61"/>
        <w:gridCol w:w="1265"/>
      </w:tblGrid>
      <w:tr w:rsidR="00712266" w:rsidRPr="007D167D" w14:paraId="706568CF" w14:textId="77777777" w:rsidTr="00795F00">
        <w:trPr>
          <w:trHeight w:val="258"/>
          <w:jc w:val="center"/>
        </w:trPr>
        <w:tc>
          <w:tcPr>
            <w:tcW w:w="686" w:type="dxa"/>
            <w:tcBorders>
              <w:top w:val="nil"/>
              <w:left w:val="nil"/>
              <w:bottom w:val="nil"/>
              <w:right w:val="nil"/>
            </w:tcBorders>
          </w:tcPr>
          <w:p w14:paraId="59FD7F02"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686" w:type="dxa"/>
            <w:tcBorders>
              <w:top w:val="nil"/>
              <w:left w:val="nil"/>
              <w:bottom w:val="nil"/>
              <w:right w:val="nil"/>
            </w:tcBorders>
            <w:shd w:val="clear" w:color="auto" w:fill="auto"/>
            <w:hideMark/>
          </w:tcPr>
          <w:p w14:paraId="6CFE5507"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683" w:type="dxa"/>
            <w:tcBorders>
              <w:top w:val="nil"/>
              <w:left w:val="nil"/>
              <w:bottom w:val="nil"/>
              <w:right w:val="nil"/>
            </w:tcBorders>
            <w:shd w:val="clear" w:color="auto" w:fill="auto"/>
            <w:hideMark/>
          </w:tcPr>
          <w:p w14:paraId="7410DD8F"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681" w:type="dxa"/>
            <w:tcBorders>
              <w:top w:val="nil"/>
              <w:left w:val="nil"/>
              <w:bottom w:val="nil"/>
              <w:right w:val="nil"/>
            </w:tcBorders>
            <w:shd w:val="clear" w:color="auto" w:fill="auto"/>
            <w:hideMark/>
          </w:tcPr>
          <w:p w14:paraId="4610A611"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790" w:type="dxa"/>
            <w:tcBorders>
              <w:top w:val="nil"/>
              <w:left w:val="nil"/>
              <w:bottom w:val="nil"/>
              <w:right w:val="nil"/>
            </w:tcBorders>
            <w:shd w:val="clear" w:color="auto" w:fill="auto"/>
            <w:hideMark/>
          </w:tcPr>
          <w:p w14:paraId="07BFC268"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1064" w:type="dxa"/>
            <w:tcBorders>
              <w:top w:val="nil"/>
              <w:left w:val="nil"/>
              <w:bottom w:val="nil"/>
              <w:right w:val="nil"/>
            </w:tcBorders>
            <w:shd w:val="clear" w:color="auto" w:fill="auto"/>
            <w:hideMark/>
          </w:tcPr>
          <w:p w14:paraId="6291B64B"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700" w:type="dxa"/>
            <w:gridSpan w:val="2"/>
            <w:tcBorders>
              <w:top w:val="nil"/>
              <w:left w:val="nil"/>
              <w:bottom w:val="nil"/>
              <w:right w:val="nil"/>
            </w:tcBorders>
            <w:shd w:val="clear" w:color="auto" w:fill="auto"/>
            <w:hideMark/>
          </w:tcPr>
          <w:p w14:paraId="0B0B4306"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1315" w:type="dxa"/>
            <w:tcBorders>
              <w:top w:val="nil"/>
              <w:left w:val="nil"/>
              <w:bottom w:val="nil"/>
              <w:right w:val="nil"/>
            </w:tcBorders>
            <w:shd w:val="clear" w:color="auto" w:fill="auto"/>
            <w:hideMark/>
          </w:tcPr>
          <w:p w14:paraId="4A17069C"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r>
      <w:tr w:rsidR="00712266" w:rsidRPr="007D167D" w14:paraId="16FE9ECA" w14:textId="77777777" w:rsidTr="00795F00">
        <w:trPr>
          <w:gridAfter w:val="2"/>
          <w:wAfter w:w="1378" w:type="dxa"/>
          <w:trHeight w:val="271"/>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BABE" w14:textId="77777777" w:rsidR="00712266" w:rsidRPr="007D167D" w:rsidRDefault="00712266" w:rsidP="00712266">
            <w:pPr>
              <w:tabs>
                <w:tab w:val="right" w:pos="9990"/>
                <w:tab w:val="right" w:pos="10557"/>
              </w:tabs>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Banco</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72FA71" w14:textId="77777777" w:rsidR="00712266" w:rsidRPr="007D167D"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712266" w:rsidRPr="007D167D" w14:paraId="3794AC99" w14:textId="77777777" w:rsidTr="00795F00">
        <w:trPr>
          <w:gridAfter w:val="2"/>
          <w:wAfter w:w="1378" w:type="dxa"/>
          <w:trHeight w:val="258"/>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67C6" w14:textId="77777777" w:rsidR="00712266" w:rsidRPr="007D167D" w:rsidRDefault="007C3AB6" w:rsidP="0071226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NIEBLAS DOSAL ADELA 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800034"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w:t>
            </w:r>
            <w:r w:rsidR="004D160A" w:rsidRPr="007D167D">
              <w:rPr>
                <w:rFonts w:ascii="Arial" w:eastAsia="Times New Roman" w:hAnsi="Arial" w:cs="Arial"/>
                <w:color w:val="000000"/>
                <w:lang w:eastAsia="es-MX"/>
              </w:rPr>
              <w:t>5,000.00</w:t>
            </w:r>
          </w:p>
        </w:tc>
      </w:tr>
      <w:tr w:rsidR="00712266" w:rsidRPr="007D167D" w14:paraId="7134708A" w14:textId="77777777" w:rsidTr="00795F00">
        <w:trPr>
          <w:gridAfter w:val="2"/>
          <w:wAfter w:w="1378" w:type="dxa"/>
          <w:trHeight w:val="258"/>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3E06" w14:textId="77777777" w:rsidR="00712266" w:rsidRPr="007D167D" w:rsidRDefault="00B46D5A" w:rsidP="0071226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OLGA SOTELO MURRIETA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8E6139"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w:t>
            </w:r>
            <w:r w:rsidR="00B91E41" w:rsidRPr="007D167D">
              <w:rPr>
                <w:rFonts w:ascii="Arial" w:eastAsia="Times New Roman" w:hAnsi="Arial" w:cs="Arial"/>
                <w:color w:val="000000"/>
                <w:lang w:eastAsia="es-MX"/>
              </w:rPr>
              <w:t>1,500.00</w:t>
            </w:r>
          </w:p>
        </w:tc>
      </w:tr>
      <w:tr w:rsidR="00712266" w:rsidRPr="007D167D" w14:paraId="75938ACE" w14:textId="77777777" w:rsidTr="00795F00">
        <w:trPr>
          <w:gridAfter w:val="2"/>
          <w:wAfter w:w="1378" w:type="dxa"/>
          <w:trHeight w:val="271"/>
          <w:jc w:val="center"/>
        </w:trPr>
        <w:tc>
          <w:tcPr>
            <w:tcW w:w="352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CE5E1E" w14:textId="77777777" w:rsidR="00712266" w:rsidRPr="007D167D" w:rsidRDefault="00712266" w:rsidP="00712266">
            <w:pPr>
              <w:tabs>
                <w:tab w:val="right" w:pos="9990"/>
                <w:tab w:val="right" w:pos="10557"/>
              </w:tabs>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Suma</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FD46D8"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b/>
                <w:bCs/>
                <w:color w:val="000000"/>
                <w:lang w:eastAsia="es-MX"/>
              </w:rPr>
            </w:pPr>
            <w:r w:rsidRPr="007D167D">
              <w:rPr>
                <w:rFonts w:ascii="Arial" w:eastAsia="Times New Roman" w:hAnsi="Arial" w:cs="Arial"/>
                <w:b/>
                <w:bCs/>
                <w:color w:val="000000"/>
                <w:lang w:eastAsia="es-MX"/>
              </w:rPr>
              <w:t>$</w:t>
            </w:r>
            <w:r w:rsidR="00B91E41" w:rsidRPr="007D167D">
              <w:rPr>
                <w:rFonts w:ascii="Arial" w:eastAsia="Times New Roman" w:hAnsi="Arial" w:cs="Arial"/>
                <w:b/>
                <w:bCs/>
                <w:color w:val="000000"/>
                <w:lang w:eastAsia="es-MX"/>
              </w:rPr>
              <w:t>6,</w:t>
            </w:r>
            <w:r w:rsidR="007C3AB6" w:rsidRPr="007D167D">
              <w:rPr>
                <w:rFonts w:ascii="Arial" w:eastAsia="Times New Roman" w:hAnsi="Arial" w:cs="Arial"/>
                <w:b/>
                <w:bCs/>
                <w:color w:val="000000"/>
                <w:lang w:eastAsia="es-MX"/>
              </w:rPr>
              <w:t>5</w:t>
            </w:r>
            <w:r w:rsidR="004D160A" w:rsidRPr="007D167D">
              <w:rPr>
                <w:rFonts w:ascii="Arial" w:eastAsia="Times New Roman" w:hAnsi="Arial" w:cs="Arial"/>
                <w:b/>
                <w:bCs/>
                <w:color w:val="000000"/>
                <w:lang w:eastAsia="es-MX"/>
              </w:rPr>
              <w:t>00</w:t>
            </w:r>
            <w:r w:rsidR="00B91E41" w:rsidRPr="007D167D">
              <w:rPr>
                <w:rFonts w:ascii="Arial" w:eastAsia="Times New Roman" w:hAnsi="Arial" w:cs="Arial"/>
                <w:b/>
                <w:bCs/>
                <w:color w:val="000000"/>
                <w:lang w:eastAsia="es-MX"/>
              </w:rPr>
              <w:t>.00</w:t>
            </w:r>
          </w:p>
        </w:tc>
      </w:tr>
    </w:tbl>
    <w:p w14:paraId="7A8E0A6F" w14:textId="36333F48" w:rsidR="00AE10DA" w:rsidRDefault="00AE10DA" w:rsidP="00AE10DA">
      <w:pPr>
        <w:pStyle w:val="Prrafodelista"/>
        <w:ind w:left="426"/>
        <w:rPr>
          <w:rFonts w:ascii="Arial" w:hAnsi="Arial" w:cs="Arial"/>
          <w:b/>
        </w:rPr>
      </w:pPr>
    </w:p>
    <w:p w14:paraId="670F89D7" w14:textId="77777777" w:rsidR="00AE10DA" w:rsidRDefault="00AE10DA" w:rsidP="00AE10DA">
      <w:pPr>
        <w:pStyle w:val="Prrafodelista"/>
        <w:ind w:left="426"/>
        <w:rPr>
          <w:rFonts w:ascii="Arial" w:hAnsi="Arial" w:cs="Arial"/>
          <w:b/>
        </w:rPr>
      </w:pPr>
    </w:p>
    <w:p w14:paraId="4CDA87AA" w14:textId="1A744BD6" w:rsidR="007B7886" w:rsidRPr="007D167D" w:rsidRDefault="007B7886" w:rsidP="00152D3E">
      <w:pPr>
        <w:pStyle w:val="Prrafodelista"/>
        <w:numPr>
          <w:ilvl w:val="0"/>
          <w:numId w:val="3"/>
        </w:numPr>
        <w:ind w:left="426" w:hanging="284"/>
        <w:rPr>
          <w:rFonts w:ascii="Arial" w:hAnsi="Arial" w:cs="Arial"/>
          <w:b/>
        </w:rPr>
      </w:pPr>
      <w:r w:rsidRPr="007D167D">
        <w:rPr>
          <w:rFonts w:ascii="Arial" w:hAnsi="Arial" w:cs="Arial"/>
          <w:b/>
        </w:rPr>
        <w:t>Derechos a recibir Efectivo y Equivalentes y Bienes o Servicios a Recibir</w:t>
      </w:r>
    </w:p>
    <w:p w14:paraId="769355AD" w14:textId="01B07C30" w:rsidR="00712266" w:rsidRPr="007D167D" w:rsidRDefault="00152D3E" w:rsidP="00712266">
      <w:pPr>
        <w:jc w:val="both"/>
        <w:rPr>
          <w:rFonts w:ascii="Arial" w:hAnsi="Arial" w:cs="Arial"/>
        </w:rPr>
      </w:pPr>
      <w:r w:rsidRPr="007D167D">
        <w:rPr>
          <w:rFonts w:ascii="Arial" w:hAnsi="Arial" w:cs="Arial"/>
        </w:rPr>
        <w:t xml:space="preserve">2.- </w:t>
      </w:r>
      <w:r w:rsidR="007B7886" w:rsidRPr="007D167D">
        <w:rPr>
          <w:rFonts w:ascii="Arial" w:hAnsi="Arial" w:cs="Arial"/>
        </w:rPr>
        <w:t>Corresponde integrar en este apartado, por tipo de contribución, los montos al 3</w:t>
      </w:r>
      <w:r w:rsidR="00513015">
        <w:rPr>
          <w:rFonts w:ascii="Arial" w:hAnsi="Arial" w:cs="Arial"/>
        </w:rPr>
        <w:t>1</w:t>
      </w:r>
      <w:r w:rsidR="007B7886" w:rsidRPr="007D167D">
        <w:rPr>
          <w:rFonts w:ascii="Arial" w:hAnsi="Arial" w:cs="Arial"/>
        </w:rPr>
        <w:t xml:space="preserve"> de </w:t>
      </w:r>
      <w:r w:rsidR="003C4BA8">
        <w:rPr>
          <w:rFonts w:ascii="Arial" w:hAnsi="Arial" w:cs="Arial"/>
        </w:rPr>
        <w:t>dici</w:t>
      </w:r>
      <w:r w:rsidR="004948B5">
        <w:rPr>
          <w:rFonts w:ascii="Arial" w:hAnsi="Arial" w:cs="Arial"/>
        </w:rPr>
        <w:t>embre</w:t>
      </w:r>
      <w:r w:rsidR="004A4211">
        <w:rPr>
          <w:rFonts w:ascii="Arial" w:hAnsi="Arial" w:cs="Arial"/>
        </w:rPr>
        <w:t xml:space="preserve"> </w:t>
      </w:r>
      <w:r w:rsidR="00A24B66" w:rsidRPr="007D167D">
        <w:rPr>
          <w:rFonts w:ascii="Arial" w:hAnsi="Arial" w:cs="Arial"/>
        </w:rPr>
        <w:t>d</w:t>
      </w:r>
      <w:r w:rsidR="007B7886" w:rsidRPr="007D167D">
        <w:rPr>
          <w:rFonts w:ascii="Arial" w:hAnsi="Arial" w:cs="Arial"/>
        </w:rPr>
        <w:t>e</w:t>
      </w:r>
      <w:r w:rsidR="00027853" w:rsidRPr="007D167D">
        <w:rPr>
          <w:rFonts w:ascii="Arial" w:hAnsi="Arial" w:cs="Arial"/>
        </w:rPr>
        <w:t>l</w:t>
      </w:r>
      <w:r w:rsidR="007B7886" w:rsidRPr="007D167D">
        <w:rPr>
          <w:rFonts w:ascii="Arial" w:hAnsi="Arial" w:cs="Arial"/>
        </w:rPr>
        <w:t xml:space="preserve"> 202</w:t>
      </w:r>
      <w:r w:rsidR="00985C5F" w:rsidRPr="007D167D">
        <w:rPr>
          <w:rFonts w:ascii="Arial" w:hAnsi="Arial" w:cs="Arial"/>
        </w:rPr>
        <w:t>4</w:t>
      </w:r>
      <w:r w:rsidR="007B7886" w:rsidRPr="007D167D">
        <w:rPr>
          <w:rFonts w:ascii="Arial" w:hAnsi="Arial" w:cs="Arial"/>
        </w:rPr>
        <w:t>, que se encuentren pendientes de cobro y por recuperar de hasta cinco ejercicios anteriores. Asimismo, se informa los montos sujetos a algún tipo de juicio con una antigüedad mayor a cinco ejercicios anteriores y la factibilidad de cobro:</w:t>
      </w:r>
    </w:p>
    <w:tbl>
      <w:tblPr>
        <w:tblW w:w="9067" w:type="dxa"/>
        <w:jc w:val="center"/>
        <w:tblCellMar>
          <w:left w:w="70" w:type="dxa"/>
          <w:right w:w="70" w:type="dxa"/>
        </w:tblCellMar>
        <w:tblLook w:val="04A0" w:firstRow="1" w:lastRow="0" w:firstColumn="1" w:lastColumn="0" w:noHBand="0" w:noVBand="1"/>
      </w:tblPr>
      <w:tblGrid>
        <w:gridCol w:w="5807"/>
        <w:gridCol w:w="1559"/>
        <w:gridCol w:w="1701"/>
      </w:tblGrid>
      <w:tr w:rsidR="00712266" w:rsidRPr="007D167D" w14:paraId="0AD66597" w14:textId="77777777" w:rsidTr="00F11BA9">
        <w:trPr>
          <w:trHeight w:val="240"/>
          <w:jc w:val="center"/>
        </w:trPr>
        <w:tc>
          <w:tcPr>
            <w:tcW w:w="5807"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D4AD4A6" w14:textId="77777777" w:rsidR="00712266" w:rsidRPr="003C4BA8" w:rsidRDefault="00712266" w:rsidP="00712266">
            <w:pPr>
              <w:tabs>
                <w:tab w:val="right" w:pos="9990"/>
                <w:tab w:val="right" w:pos="10557"/>
              </w:tabs>
              <w:spacing w:after="0" w:line="240" w:lineRule="auto"/>
              <w:ind w:hanging="75"/>
              <w:jc w:val="center"/>
              <w:rPr>
                <w:rFonts w:ascii="Arial" w:eastAsia="Times New Roman" w:hAnsi="Arial" w:cs="Arial"/>
                <w:b/>
                <w:bCs/>
                <w:color w:val="000000"/>
                <w:lang w:eastAsia="es-MX"/>
              </w:rPr>
            </w:pPr>
            <w:r w:rsidRPr="003C4BA8">
              <w:rPr>
                <w:rFonts w:ascii="Arial" w:eastAsia="Times New Roman" w:hAnsi="Arial" w:cs="Arial"/>
                <w:b/>
                <w:bCs/>
                <w:color w:val="000000"/>
                <w:lang w:eastAsia="es-MX"/>
              </w:rPr>
              <w:t>Concepto</w:t>
            </w:r>
          </w:p>
        </w:tc>
        <w:tc>
          <w:tcPr>
            <w:tcW w:w="1559"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0ACC8F18" w14:textId="77777777" w:rsidR="00712266" w:rsidRPr="003C4BA8" w:rsidRDefault="00712266" w:rsidP="00712266">
            <w:pPr>
              <w:tabs>
                <w:tab w:val="right" w:pos="9990"/>
                <w:tab w:val="right" w:pos="10557"/>
              </w:tabs>
              <w:spacing w:after="0" w:line="240" w:lineRule="auto"/>
              <w:jc w:val="center"/>
              <w:rPr>
                <w:rFonts w:ascii="Arial" w:eastAsia="Times New Roman" w:hAnsi="Arial" w:cs="Arial"/>
                <w:b/>
                <w:bCs/>
                <w:color w:val="000000"/>
                <w:lang w:eastAsia="es-MX"/>
              </w:rPr>
            </w:pPr>
            <w:r w:rsidRPr="003C4BA8">
              <w:rPr>
                <w:rFonts w:ascii="Arial" w:eastAsia="Times New Roman" w:hAnsi="Arial" w:cs="Arial"/>
                <w:b/>
                <w:bCs/>
                <w:color w:val="000000"/>
                <w:lang w:eastAsia="es-MX"/>
              </w:rPr>
              <w:t>202</w:t>
            </w:r>
            <w:r w:rsidR="00985C5F" w:rsidRPr="003C4BA8">
              <w:rPr>
                <w:rFonts w:ascii="Arial" w:eastAsia="Times New Roman" w:hAnsi="Arial" w:cs="Arial"/>
                <w:b/>
                <w:bCs/>
                <w:color w:val="000000"/>
                <w:lang w:eastAsia="es-MX"/>
              </w:rPr>
              <w:t>4</w:t>
            </w:r>
          </w:p>
        </w:tc>
        <w:tc>
          <w:tcPr>
            <w:tcW w:w="1701" w:type="dxa"/>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14:paraId="649A3454" w14:textId="77777777" w:rsidR="00712266" w:rsidRPr="003C4BA8" w:rsidRDefault="00712266" w:rsidP="00712266">
            <w:pPr>
              <w:tabs>
                <w:tab w:val="right" w:pos="9990"/>
                <w:tab w:val="right" w:pos="10557"/>
              </w:tabs>
              <w:spacing w:after="0" w:line="240" w:lineRule="auto"/>
              <w:ind w:left="10" w:hanging="10"/>
              <w:jc w:val="center"/>
              <w:rPr>
                <w:rFonts w:ascii="Arial" w:eastAsia="Times New Roman" w:hAnsi="Arial" w:cs="Arial"/>
                <w:b/>
                <w:bCs/>
                <w:color w:val="000000"/>
                <w:lang w:eastAsia="es-MX"/>
              </w:rPr>
            </w:pPr>
            <w:r w:rsidRPr="003C4BA8">
              <w:rPr>
                <w:rFonts w:ascii="Arial" w:eastAsia="Times New Roman" w:hAnsi="Arial" w:cs="Arial"/>
                <w:b/>
                <w:bCs/>
                <w:color w:val="000000"/>
                <w:lang w:eastAsia="es-MX"/>
              </w:rPr>
              <w:t>202</w:t>
            </w:r>
            <w:r w:rsidR="00985C5F" w:rsidRPr="003C4BA8">
              <w:rPr>
                <w:rFonts w:ascii="Arial" w:eastAsia="Times New Roman" w:hAnsi="Arial" w:cs="Arial"/>
                <w:b/>
                <w:bCs/>
                <w:color w:val="000000"/>
                <w:lang w:eastAsia="es-MX"/>
              </w:rPr>
              <w:t>3</w:t>
            </w:r>
          </w:p>
        </w:tc>
      </w:tr>
      <w:tr w:rsidR="00985C5F" w:rsidRPr="007D167D" w14:paraId="6AA148DC"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14:paraId="5E041AFC" w14:textId="77777777" w:rsidR="00985C5F" w:rsidRPr="003C4BA8"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3C4BA8">
              <w:rPr>
                <w:rFonts w:ascii="Arial" w:eastAsia="Times New Roman" w:hAnsi="Arial" w:cs="Arial"/>
                <w:color w:val="000000"/>
                <w:lang w:eastAsia="es-MX"/>
              </w:rPr>
              <w:t>CUENTAS POR COBRAR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8C1A2D" w14:textId="77777777"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-550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3FD50804" w14:textId="77777777"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-550</w:t>
            </w:r>
          </w:p>
        </w:tc>
      </w:tr>
      <w:tr w:rsidR="00985C5F" w:rsidRPr="007D167D" w14:paraId="521C0F28"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14:paraId="4874FDBB" w14:textId="77777777" w:rsidR="00985C5F" w:rsidRPr="003C4BA8"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3C4BA8">
              <w:rPr>
                <w:rFonts w:ascii="Arial" w:eastAsia="Times New Roman" w:hAnsi="Arial" w:cs="Arial"/>
                <w:color w:val="000000"/>
                <w:lang w:eastAsia="es-MX"/>
              </w:rPr>
              <w:t>DEUDORES DIVERSOS POR COBRAR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B36D8A8" w14:textId="3251CC60"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xml:space="preserve">$ </w:t>
            </w:r>
            <w:r w:rsidR="004948B5" w:rsidRPr="003C4BA8">
              <w:rPr>
                <w:rFonts w:ascii="Arial" w:eastAsia="Times New Roman" w:hAnsi="Arial" w:cs="Arial"/>
                <w:color w:val="000000"/>
                <w:lang w:eastAsia="es-MX"/>
              </w:rPr>
              <w:t>457,213.30</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14:paraId="12228A30" w14:textId="77777777"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454,088.79</w:t>
            </w:r>
          </w:p>
        </w:tc>
      </w:tr>
      <w:tr w:rsidR="00985C5F" w:rsidRPr="007D167D" w14:paraId="0B5AA454"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14:paraId="197E4275" w14:textId="77777777" w:rsidR="00985C5F" w:rsidRPr="003C4BA8"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3C4BA8">
              <w:rPr>
                <w:rFonts w:ascii="Arial" w:eastAsia="Times New Roman" w:hAnsi="Arial" w:cs="Arial"/>
                <w:color w:val="000000"/>
                <w:lang w:eastAsia="es-MX"/>
              </w:rPr>
              <w:t>OTROS DERECHOS A RECIBIR EFECTIVO O EQUIVALENTES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BC83C93" w14:textId="5A4A3E67"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xml:space="preserve">$ </w:t>
            </w:r>
            <w:r w:rsidR="00646827" w:rsidRPr="003C4BA8">
              <w:rPr>
                <w:rFonts w:ascii="Arial" w:eastAsia="Times New Roman" w:hAnsi="Arial" w:cs="Arial"/>
                <w:color w:val="000000"/>
                <w:lang w:eastAsia="es-MX"/>
              </w:rPr>
              <w:t>50,514.25</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14:paraId="6BC8A479" w14:textId="77777777"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41,709.22</w:t>
            </w:r>
          </w:p>
        </w:tc>
      </w:tr>
      <w:tr w:rsidR="00985C5F" w:rsidRPr="007D167D" w14:paraId="70119B8D"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tcPr>
          <w:p w14:paraId="2F5EF36C" w14:textId="77777777" w:rsidR="00985C5F" w:rsidRPr="003C4BA8"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3C4BA8">
              <w:rPr>
                <w:rFonts w:ascii="Arial" w:eastAsia="Times New Roman" w:hAnsi="Arial" w:cs="Arial"/>
                <w:color w:val="000000"/>
                <w:lang w:eastAsia="es-MX"/>
              </w:rPr>
              <w:t>DEUDORES POR ANTICIPOS DE LA TESORERÍA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8AD45F5" w14:textId="48EA719A"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$ 16,56</w:t>
            </w:r>
            <w:r w:rsidR="004A4211" w:rsidRPr="003C4BA8">
              <w:rPr>
                <w:rFonts w:ascii="Arial" w:eastAsia="Times New Roman" w:hAnsi="Arial" w:cs="Arial"/>
                <w:color w:val="000000"/>
                <w:lang w:eastAsia="es-MX"/>
              </w:rPr>
              <w:t>1</w:t>
            </w:r>
            <w:r w:rsidRPr="003C4BA8">
              <w:rPr>
                <w:rFonts w:ascii="Arial" w:eastAsia="Times New Roman" w:hAnsi="Arial" w:cs="Arial"/>
                <w:color w:val="000000"/>
                <w:lang w:eastAsia="es-MX"/>
              </w:rPr>
              <w:t>.</w:t>
            </w:r>
            <w:r w:rsidR="004A4211" w:rsidRPr="003C4BA8">
              <w:rPr>
                <w:rFonts w:ascii="Arial" w:eastAsia="Times New Roman" w:hAnsi="Arial" w:cs="Arial"/>
                <w:color w:val="000000"/>
                <w:lang w:eastAsia="es-MX"/>
              </w:rPr>
              <w:t>36</w:t>
            </w:r>
            <w:r w:rsidRPr="003C4BA8">
              <w:rPr>
                <w:rFonts w:ascii="Arial" w:eastAsia="Times New Roman" w:hAnsi="Arial" w:cs="Arial"/>
                <w:color w:val="000000"/>
                <w:lang w:eastAsia="es-MX"/>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14:paraId="5A61AC08" w14:textId="77777777" w:rsidR="00985C5F" w:rsidRPr="003C4BA8"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3C4BA8">
              <w:rPr>
                <w:rFonts w:ascii="Arial" w:eastAsia="Times New Roman" w:hAnsi="Arial" w:cs="Arial"/>
                <w:color w:val="000000"/>
                <w:lang w:eastAsia="es-MX"/>
              </w:rPr>
              <w:t xml:space="preserve">$ 16,576.00 </w:t>
            </w:r>
          </w:p>
        </w:tc>
      </w:tr>
      <w:tr w:rsidR="00985C5F" w:rsidRPr="007D167D" w14:paraId="7A063F02"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tcPr>
          <w:p w14:paraId="6E895898" w14:textId="77777777" w:rsidR="00985C5F" w:rsidRPr="003C4BA8" w:rsidRDefault="00985C5F" w:rsidP="00985C5F">
            <w:pPr>
              <w:tabs>
                <w:tab w:val="right" w:pos="9990"/>
                <w:tab w:val="right" w:pos="10557"/>
              </w:tabs>
              <w:spacing w:after="0" w:line="240" w:lineRule="auto"/>
              <w:ind w:hanging="75"/>
              <w:jc w:val="right"/>
              <w:rPr>
                <w:rFonts w:ascii="Arial" w:eastAsia="Times New Roman" w:hAnsi="Arial" w:cs="Arial"/>
                <w:b/>
                <w:bCs/>
                <w:color w:val="000000"/>
                <w:lang w:eastAsia="es-MX"/>
              </w:rPr>
            </w:pPr>
            <w:r w:rsidRPr="003C4BA8">
              <w:rPr>
                <w:rFonts w:ascii="Arial" w:eastAsia="Times New Roman" w:hAnsi="Arial" w:cs="Arial"/>
                <w:b/>
                <w:bCs/>
                <w:color w:val="000000"/>
                <w:lang w:eastAsia="es-MX"/>
              </w:rPr>
              <w:t>Suma</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18C079" w14:textId="47CFB0CC" w:rsidR="00985C5F" w:rsidRPr="003C4BA8" w:rsidRDefault="00985C5F" w:rsidP="00985C5F">
            <w:pPr>
              <w:tabs>
                <w:tab w:val="right" w:pos="9990"/>
                <w:tab w:val="right" w:pos="10557"/>
              </w:tabs>
              <w:spacing w:after="0" w:line="240" w:lineRule="auto"/>
              <w:jc w:val="right"/>
              <w:rPr>
                <w:rFonts w:ascii="Arial" w:eastAsia="Times New Roman" w:hAnsi="Arial" w:cs="Arial"/>
                <w:b/>
                <w:color w:val="000000"/>
                <w:lang w:eastAsia="es-MX"/>
              </w:rPr>
            </w:pPr>
            <w:r w:rsidRPr="003C4BA8">
              <w:rPr>
                <w:rFonts w:ascii="Arial" w:eastAsia="Times New Roman" w:hAnsi="Arial" w:cs="Arial"/>
                <w:b/>
                <w:color w:val="000000"/>
                <w:lang w:eastAsia="es-MX"/>
              </w:rPr>
              <w:t xml:space="preserve"> $ </w:t>
            </w:r>
            <w:r w:rsidR="00646827" w:rsidRPr="003C4BA8">
              <w:rPr>
                <w:rFonts w:ascii="Arial" w:eastAsia="Times New Roman" w:hAnsi="Arial" w:cs="Arial"/>
                <w:b/>
                <w:color w:val="000000"/>
                <w:lang w:eastAsia="es-MX"/>
              </w:rPr>
              <w:t>523,738.91</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1E9CA22C" w14:textId="77777777" w:rsidR="00985C5F" w:rsidRPr="003C4BA8" w:rsidRDefault="00985C5F" w:rsidP="00985C5F">
            <w:pPr>
              <w:tabs>
                <w:tab w:val="right" w:pos="9990"/>
                <w:tab w:val="right" w:pos="10557"/>
              </w:tabs>
              <w:spacing w:after="0" w:line="240" w:lineRule="auto"/>
              <w:jc w:val="right"/>
              <w:rPr>
                <w:rFonts w:ascii="Arial" w:eastAsia="Times New Roman" w:hAnsi="Arial" w:cs="Arial"/>
                <w:b/>
                <w:color w:val="000000"/>
                <w:lang w:eastAsia="es-MX"/>
              </w:rPr>
            </w:pPr>
            <w:r w:rsidRPr="003C4BA8">
              <w:rPr>
                <w:rFonts w:ascii="Arial" w:eastAsia="Times New Roman" w:hAnsi="Arial" w:cs="Arial"/>
                <w:b/>
                <w:color w:val="000000"/>
                <w:lang w:eastAsia="es-MX"/>
              </w:rPr>
              <w:t xml:space="preserve"> $ 511,824.01</w:t>
            </w:r>
          </w:p>
        </w:tc>
      </w:tr>
    </w:tbl>
    <w:p w14:paraId="5CAC2570" w14:textId="77777777" w:rsidR="00456B97" w:rsidRPr="007D167D" w:rsidRDefault="00456B97" w:rsidP="00712266">
      <w:pPr>
        <w:jc w:val="both"/>
        <w:rPr>
          <w:rFonts w:ascii="Arial" w:hAnsi="Arial" w:cs="Arial"/>
        </w:rPr>
      </w:pPr>
    </w:p>
    <w:p w14:paraId="53252150" w14:textId="0A4FA445" w:rsidR="00712266" w:rsidRPr="007D167D" w:rsidRDefault="00152D3E" w:rsidP="00712266">
      <w:pPr>
        <w:jc w:val="both"/>
        <w:rPr>
          <w:rFonts w:ascii="Arial" w:hAnsi="Arial" w:cs="Arial"/>
        </w:rPr>
      </w:pPr>
      <w:r w:rsidRPr="007D167D">
        <w:rPr>
          <w:rFonts w:ascii="Arial" w:hAnsi="Arial" w:cs="Arial"/>
        </w:rPr>
        <w:t>3.-</w:t>
      </w:r>
      <w:r w:rsidR="00712266" w:rsidRPr="007D167D">
        <w:rPr>
          <w:rFonts w:ascii="Arial" w:hAnsi="Arial" w:cs="Arial"/>
        </w:rPr>
        <w:t>Se informa de manera agrupada, el monto al 3</w:t>
      </w:r>
      <w:r w:rsidR="00071C10">
        <w:rPr>
          <w:rFonts w:ascii="Arial" w:hAnsi="Arial" w:cs="Arial"/>
        </w:rPr>
        <w:t>1</w:t>
      </w:r>
      <w:r w:rsidR="00712266" w:rsidRPr="007D167D">
        <w:rPr>
          <w:rFonts w:ascii="Arial" w:hAnsi="Arial" w:cs="Arial"/>
        </w:rPr>
        <w:t xml:space="preserve"> de </w:t>
      </w:r>
      <w:r w:rsidR="003C4BA8">
        <w:rPr>
          <w:rFonts w:ascii="Arial" w:hAnsi="Arial" w:cs="Arial"/>
        </w:rPr>
        <w:t>dic</w:t>
      </w:r>
      <w:r w:rsidR="00646827">
        <w:rPr>
          <w:rFonts w:ascii="Arial" w:hAnsi="Arial" w:cs="Arial"/>
        </w:rPr>
        <w:t>iembre</w:t>
      </w:r>
      <w:r w:rsidR="00C80DB7" w:rsidRPr="007D167D">
        <w:rPr>
          <w:rFonts w:ascii="Arial" w:hAnsi="Arial" w:cs="Arial"/>
        </w:rPr>
        <w:t xml:space="preserve"> </w:t>
      </w:r>
      <w:r w:rsidR="00712266" w:rsidRPr="007D167D">
        <w:rPr>
          <w:rFonts w:ascii="Arial" w:hAnsi="Arial" w:cs="Arial"/>
        </w:rPr>
        <w:t>de 202</w:t>
      </w:r>
      <w:r w:rsidR="000C0B57" w:rsidRPr="007D167D">
        <w:rPr>
          <w:rFonts w:ascii="Arial" w:hAnsi="Arial" w:cs="Arial"/>
        </w:rPr>
        <w:t>4</w:t>
      </w:r>
      <w:r w:rsidR="00712266" w:rsidRPr="007D167D">
        <w:rPr>
          <w:rFonts w:ascii="Arial" w:hAnsi="Arial" w:cs="Arial"/>
        </w:rPr>
        <w:t xml:space="preserve"> de los derechos a recibir efectivo y equivalentes (excepto cuentas por cobrar de contribuciones o fideicomisos que se encuentran dentro de inversiones financieras, participaciones y aportaciones de capital) en una desagregación por su vencimiento en días a 90, 180, menor o igual a 365 y mayor a 365. Adicionalmente se informa de las características cualitativas relevantes que les afectan a estas cuentas:</w:t>
      </w:r>
    </w:p>
    <w:p w14:paraId="527BDBEB" w14:textId="77777777" w:rsidR="007B7886" w:rsidRPr="007D167D" w:rsidRDefault="00712266" w:rsidP="00712266">
      <w:pPr>
        <w:jc w:val="center"/>
        <w:rPr>
          <w:rFonts w:ascii="Arial" w:hAnsi="Arial" w:cs="Arial"/>
        </w:rPr>
      </w:pPr>
      <w:r w:rsidRPr="007D167D">
        <w:rPr>
          <w:rFonts w:ascii="Arial" w:hAnsi="Arial" w:cs="Arial"/>
        </w:rPr>
        <w:t>(Pesos)</w:t>
      </w:r>
    </w:p>
    <w:tbl>
      <w:tblPr>
        <w:tblW w:w="9117" w:type="dxa"/>
        <w:tblCellMar>
          <w:left w:w="70" w:type="dxa"/>
          <w:right w:w="70" w:type="dxa"/>
        </w:tblCellMar>
        <w:tblLook w:val="04A0" w:firstRow="1" w:lastRow="0" w:firstColumn="1" w:lastColumn="0" w:noHBand="0" w:noVBand="1"/>
      </w:tblPr>
      <w:tblGrid>
        <w:gridCol w:w="5382"/>
        <w:gridCol w:w="1559"/>
        <w:gridCol w:w="2206"/>
      </w:tblGrid>
      <w:tr w:rsidR="00712266" w:rsidRPr="007D167D" w14:paraId="274843C6" w14:textId="77777777" w:rsidTr="004A4211">
        <w:trPr>
          <w:trHeight w:val="1113"/>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4B0A8C0" w14:textId="77777777" w:rsidR="00712266" w:rsidRPr="007D167D" w:rsidRDefault="00712266" w:rsidP="00712266">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lastRenderedPageBreak/>
              <w:t xml:space="preserve">DERECHOS A RECIBIR EFECTIVO O EQUIVALENTES (excepto cuentas por cobrar de contribuciones o fideicomisos que se encuentran dentro de inversiones financieras, participaciones y aportaciones de capital):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46BA8C" w14:textId="77777777" w:rsidR="00712266" w:rsidRPr="007D167D" w:rsidRDefault="00712266" w:rsidP="00712266">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MONTO</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14:paraId="0C6F5CD0" w14:textId="77777777" w:rsidR="00712266" w:rsidRPr="007D167D" w:rsidRDefault="00712266" w:rsidP="00712266">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CARACTERISTICAS CUALITATIVAS</w:t>
            </w:r>
          </w:p>
        </w:tc>
      </w:tr>
      <w:tr w:rsidR="00712266" w:rsidRPr="007D167D" w14:paraId="1BD8FD26" w14:textId="77777777" w:rsidTr="004A4211">
        <w:trPr>
          <w:trHeight w:val="258"/>
        </w:trPr>
        <w:tc>
          <w:tcPr>
            <w:tcW w:w="5382" w:type="dxa"/>
            <w:tcBorders>
              <w:top w:val="nil"/>
              <w:left w:val="nil"/>
              <w:bottom w:val="nil"/>
              <w:right w:val="nil"/>
            </w:tcBorders>
            <w:shd w:val="clear" w:color="auto" w:fill="auto"/>
            <w:noWrap/>
            <w:hideMark/>
          </w:tcPr>
          <w:p w14:paraId="1A5CBCDA" w14:textId="77777777" w:rsidR="00712266" w:rsidRPr="007D167D" w:rsidRDefault="00712266" w:rsidP="00712266">
            <w:pPr>
              <w:spacing w:after="0" w:line="240" w:lineRule="auto"/>
              <w:jc w:val="center"/>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72C5BA54" w14:textId="77777777" w:rsidR="00712266" w:rsidRPr="007D167D" w:rsidRDefault="00712266" w:rsidP="00712266">
            <w:pPr>
              <w:spacing w:after="0" w:line="240" w:lineRule="auto"/>
              <w:rPr>
                <w:rFonts w:ascii="Times New Roman" w:eastAsia="Times New Roman" w:hAnsi="Times New Roman" w:cs="Times New Roman"/>
                <w:lang w:eastAsia="es-MX"/>
              </w:rPr>
            </w:pPr>
          </w:p>
        </w:tc>
        <w:tc>
          <w:tcPr>
            <w:tcW w:w="2176" w:type="dxa"/>
            <w:tcBorders>
              <w:top w:val="nil"/>
              <w:left w:val="nil"/>
              <w:bottom w:val="nil"/>
              <w:right w:val="nil"/>
            </w:tcBorders>
            <w:shd w:val="clear" w:color="auto" w:fill="auto"/>
            <w:noWrap/>
            <w:hideMark/>
          </w:tcPr>
          <w:p w14:paraId="268A1F21"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39BD0AA4" w14:textId="77777777" w:rsidTr="004A4211">
        <w:trPr>
          <w:trHeight w:val="258"/>
        </w:trPr>
        <w:tc>
          <w:tcPr>
            <w:tcW w:w="5382" w:type="dxa"/>
            <w:tcBorders>
              <w:top w:val="nil"/>
              <w:left w:val="nil"/>
              <w:bottom w:val="nil"/>
              <w:right w:val="nil"/>
            </w:tcBorders>
            <w:shd w:val="clear" w:color="auto" w:fill="auto"/>
            <w:noWrap/>
            <w:hideMark/>
          </w:tcPr>
          <w:p w14:paraId="6E744B35" w14:textId="732CBB15"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a</w:t>
            </w:r>
            <w:r w:rsidR="008365E9" w:rsidRPr="007D167D">
              <w:rPr>
                <w:rFonts w:ascii="Arial" w:eastAsia="Times New Roman" w:hAnsi="Arial" w:cs="Arial"/>
                <w:color w:val="000000"/>
                <w:lang w:eastAsia="es-MX"/>
              </w:rPr>
              <w:t>). -</w:t>
            </w:r>
            <w:r w:rsidRPr="007D167D">
              <w:rPr>
                <w:rFonts w:ascii="Arial" w:eastAsia="Times New Roman" w:hAnsi="Arial" w:cs="Arial"/>
                <w:color w:val="000000"/>
                <w:lang w:eastAsia="es-MX"/>
              </w:rPr>
              <w:t xml:space="preserve"> Menor o igual a 90 días</w:t>
            </w:r>
          </w:p>
        </w:tc>
        <w:tc>
          <w:tcPr>
            <w:tcW w:w="1559" w:type="dxa"/>
            <w:tcBorders>
              <w:top w:val="nil"/>
              <w:left w:val="nil"/>
              <w:bottom w:val="nil"/>
              <w:right w:val="nil"/>
            </w:tcBorders>
            <w:shd w:val="clear" w:color="auto" w:fill="auto"/>
            <w:noWrap/>
            <w:hideMark/>
          </w:tcPr>
          <w:p w14:paraId="7E761721" w14:textId="77777777" w:rsidR="00712266" w:rsidRPr="007D167D" w:rsidRDefault="00712266" w:rsidP="00712266">
            <w:pPr>
              <w:spacing w:after="0" w:line="240" w:lineRule="auto"/>
              <w:rPr>
                <w:rFonts w:ascii="Arial" w:eastAsia="Times New Roman" w:hAnsi="Arial" w:cs="Arial"/>
                <w:color w:val="000000"/>
                <w:lang w:eastAsia="es-MX"/>
              </w:rPr>
            </w:pPr>
          </w:p>
        </w:tc>
        <w:tc>
          <w:tcPr>
            <w:tcW w:w="2176" w:type="dxa"/>
            <w:tcBorders>
              <w:top w:val="nil"/>
              <w:left w:val="nil"/>
              <w:bottom w:val="nil"/>
              <w:right w:val="nil"/>
            </w:tcBorders>
            <w:shd w:val="clear" w:color="auto" w:fill="auto"/>
            <w:noWrap/>
            <w:hideMark/>
          </w:tcPr>
          <w:p w14:paraId="136235F7"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32739BE" w14:textId="77777777" w:rsidTr="004A4211">
        <w:trPr>
          <w:trHeight w:val="258"/>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244DFB1D"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5EA75097"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single" w:sz="4" w:space="0" w:color="auto"/>
              <w:left w:val="nil"/>
              <w:bottom w:val="single" w:sz="4" w:space="0" w:color="auto"/>
              <w:right w:val="single" w:sz="4" w:space="0" w:color="auto"/>
            </w:tcBorders>
            <w:shd w:val="clear" w:color="auto" w:fill="auto"/>
            <w:noWrap/>
            <w:hideMark/>
          </w:tcPr>
          <w:p w14:paraId="53CB8E84"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E016806"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52DEF50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4E6BFB6B"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1F990FD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34CA79D6"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27007B82"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588EEF16"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7E76F60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128762DD"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56B0DF3B"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5A70C821" w14:textId="77777777" w:rsidR="00712266" w:rsidRPr="007D167D" w:rsidRDefault="00902CE9"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712266"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0</w:t>
            </w:r>
            <w:r w:rsidR="00971ABD" w:rsidRPr="007D167D">
              <w:rPr>
                <w:rFonts w:ascii="Arial" w:eastAsia="Times New Roman" w:hAnsi="Arial" w:cs="Arial"/>
                <w:color w:val="000000"/>
                <w:lang w:eastAsia="es-MX"/>
              </w:rPr>
              <w:t>.00</w:t>
            </w:r>
          </w:p>
        </w:tc>
        <w:tc>
          <w:tcPr>
            <w:tcW w:w="2176" w:type="dxa"/>
            <w:tcBorders>
              <w:top w:val="nil"/>
              <w:left w:val="nil"/>
              <w:bottom w:val="single" w:sz="4" w:space="0" w:color="auto"/>
              <w:right w:val="single" w:sz="4" w:space="0" w:color="auto"/>
            </w:tcBorders>
            <w:shd w:val="clear" w:color="auto" w:fill="auto"/>
            <w:noWrap/>
            <w:hideMark/>
          </w:tcPr>
          <w:p w14:paraId="33BA70D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C266C03"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6EE876B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671E96A1" w14:textId="5F63AB59" w:rsidR="00712266" w:rsidRPr="007D167D" w:rsidRDefault="00646827" w:rsidP="00244552">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 xml:space="preserve">$ </w:t>
            </w:r>
            <w:r w:rsidR="00D20B71">
              <w:rPr>
                <w:rFonts w:ascii="Arial" w:eastAsia="Times New Roman" w:hAnsi="Arial" w:cs="Arial"/>
                <w:color w:val="000000"/>
                <w:lang w:eastAsia="es-MX"/>
              </w:rPr>
              <w:t>217,246,67</w:t>
            </w:r>
          </w:p>
        </w:tc>
        <w:tc>
          <w:tcPr>
            <w:tcW w:w="2176" w:type="dxa"/>
            <w:tcBorders>
              <w:top w:val="nil"/>
              <w:left w:val="nil"/>
              <w:bottom w:val="single" w:sz="4" w:space="0" w:color="auto"/>
              <w:right w:val="single" w:sz="4" w:space="0" w:color="auto"/>
            </w:tcBorders>
            <w:shd w:val="clear" w:color="auto" w:fill="auto"/>
            <w:noWrap/>
            <w:hideMark/>
          </w:tcPr>
          <w:p w14:paraId="1B85840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05F93A12"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190A91C6"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458714F2" w14:textId="7DF2F00E"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D20B71">
              <w:rPr>
                <w:rFonts w:ascii="Arial" w:eastAsia="Times New Roman" w:hAnsi="Arial" w:cs="Arial"/>
                <w:b/>
                <w:color w:val="000000"/>
                <w:lang w:eastAsia="es-MX"/>
              </w:rPr>
              <w:t>217,246.67</w:t>
            </w:r>
          </w:p>
        </w:tc>
        <w:tc>
          <w:tcPr>
            <w:tcW w:w="2176" w:type="dxa"/>
            <w:tcBorders>
              <w:top w:val="nil"/>
              <w:left w:val="nil"/>
              <w:bottom w:val="single" w:sz="4" w:space="0" w:color="auto"/>
              <w:right w:val="single" w:sz="4" w:space="0" w:color="auto"/>
            </w:tcBorders>
            <w:shd w:val="clear" w:color="auto" w:fill="auto"/>
            <w:noWrap/>
            <w:hideMark/>
          </w:tcPr>
          <w:p w14:paraId="6A3B74B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515D5002" w14:textId="77777777" w:rsidTr="004A4211">
        <w:trPr>
          <w:trHeight w:val="258"/>
        </w:trPr>
        <w:tc>
          <w:tcPr>
            <w:tcW w:w="5382" w:type="dxa"/>
            <w:tcBorders>
              <w:top w:val="nil"/>
              <w:left w:val="nil"/>
              <w:bottom w:val="nil"/>
              <w:right w:val="nil"/>
            </w:tcBorders>
            <w:shd w:val="clear" w:color="auto" w:fill="auto"/>
            <w:noWrap/>
            <w:hideMark/>
          </w:tcPr>
          <w:p w14:paraId="453570BF" w14:textId="77777777" w:rsidR="00712266" w:rsidRPr="007D167D" w:rsidRDefault="00712266" w:rsidP="00712266">
            <w:pPr>
              <w:spacing w:after="0" w:line="240" w:lineRule="auto"/>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2E332FAC" w14:textId="77777777" w:rsidR="00712266" w:rsidRPr="007D167D" w:rsidRDefault="00712266" w:rsidP="00244552">
            <w:pPr>
              <w:spacing w:after="0" w:line="240" w:lineRule="auto"/>
              <w:jc w:val="right"/>
              <w:rPr>
                <w:rFonts w:ascii="Times New Roman" w:eastAsia="Times New Roman" w:hAnsi="Times New Roman" w:cs="Times New Roman"/>
                <w:lang w:eastAsia="es-MX"/>
              </w:rPr>
            </w:pPr>
          </w:p>
        </w:tc>
        <w:tc>
          <w:tcPr>
            <w:tcW w:w="2176" w:type="dxa"/>
            <w:tcBorders>
              <w:top w:val="nil"/>
              <w:left w:val="nil"/>
              <w:bottom w:val="nil"/>
              <w:right w:val="nil"/>
            </w:tcBorders>
            <w:shd w:val="clear" w:color="auto" w:fill="auto"/>
            <w:noWrap/>
            <w:hideMark/>
          </w:tcPr>
          <w:p w14:paraId="7CB89C9E"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3FB80C65" w14:textId="77777777" w:rsidTr="004A4211">
        <w:trPr>
          <w:trHeight w:val="258"/>
        </w:trPr>
        <w:tc>
          <w:tcPr>
            <w:tcW w:w="5382" w:type="dxa"/>
            <w:tcBorders>
              <w:top w:val="nil"/>
              <w:left w:val="nil"/>
              <w:bottom w:val="nil"/>
              <w:right w:val="nil"/>
            </w:tcBorders>
            <w:shd w:val="clear" w:color="auto" w:fill="auto"/>
            <w:noWrap/>
            <w:hideMark/>
          </w:tcPr>
          <w:p w14:paraId="03D34B40" w14:textId="457D314F"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w:t>
            </w:r>
            <w:r w:rsidR="008365E9" w:rsidRPr="007D167D">
              <w:rPr>
                <w:rFonts w:ascii="Arial" w:eastAsia="Times New Roman" w:hAnsi="Arial" w:cs="Arial"/>
                <w:color w:val="000000"/>
                <w:lang w:eastAsia="es-MX"/>
              </w:rPr>
              <w:t>). -</w:t>
            </w:r>
            <w:r w:rsidRPr="007D167D">
              <w:rPr>
                <w:rFonts w:ascii="Arial" w:eastAsia="Times New Roman" w:hAnsi="Arial" w:cs="Arial"/>
                <w:color w:val="000000"/>
                <w:lang w:eastAsia="es-MX"/>
              </w:rPr>
              <w:t xml:space="preserve"> Mayor a 90 días y menor o igual a 180 días</w:t>
            </w:r>
          </w:p>
        </w:tc>
        <w:tc>
          <w:tcPr>
            <w:tcW w:w="1559" w:type="dxa"/>
            <w:tcBorders>
              <w:top w:val="nil"/>
              <w:left w:val="nil"/>
              <w:bottom w:val="nil"/>
              <w:right w:val="nil"/>
            </w:tcBorders>
            <w:shd w:val="clear" w:color="auto" w:fill="auto"/>
            <w:noWrap/>
            <w:hideMark/>
          </w:tcPr>
          <w:p w14:paraId="5BFA86A7" w14:textId="77777777" w:rsidR="00712266" w:rsidRPr="007D167D" w:rsidRDefault="00712266" w:rsidP="00244552">
            <w:pPr>
              <w:spacing w:after="0" w:line="240" w:lineRule="auto"/>
              <w:jc w:val="right"/>
              <w:rPr>
                <w:rFonts w:ascii="Arial" w:eastAsia="Times New Roman" w:hAnsi="Arial" w:cs="Arial"/>
                <w:color w:val="000000"/>
                <w:lang w:eastAsia="es-MX"/>
              </w:rPr>
            </w:pPr>
          </w:p>
        </w:tc>
        <w:tc>
          <w:tcPr>
            <w:tcW w:w="2176" w:type="dxa"/>
            <w:tcBorders>
              <w:top w:val="nil"/>
              <w:left w:val="nil"/>
              <w:bottom w:val="nil"/>
              <w:right w:val="nil"/>
            </w:tcBorders>
            <w:shd w:val="clear" w:color="auto" w:fill="auto"/>
            <w:noWrap/>
            <w:hideMark/>
          </w:tcPr>
          <w:p w14:paraId="350C9B8C"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680D527" w14:textId="77777777" w:rsidTr="004A4211">
        <w:trPr>
          <w:trHeight w:val="258"/>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12C063EC"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79C6176B"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single" w:sz="4" w:space="0" w:color="auto"/>
              <w:left w:val="nil"/>
              <w:bottom w:val="single" w:sz="4" w:space="0" w:color="auto"/>
              <w:right w:val="single" w:sz="4" w:space="0" w:color="auto"/>
            </w:tcBorders>
            <w:shd w:val="clear" w:color="auto" w:fill="auto"/>
            <w:noWrap/>
            <w:hideMark/>
          </w:tcPr>
          <w:p w14:paraId="3F7D5709"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2F8EC3E"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577E0DB0"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19DFEE95" w14:textId="5DF00B1B" w:rsidR="00712266" w:rsidRPr="007D167D" w:rsidRDefault="00D20B71"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3ED0953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70CC7C08"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028BE62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4C087780"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7BDD3879"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208DB28"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6FBF255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13081369"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37DD5B6B"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7984A436"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68CC6BB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054D31B0"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7D77D71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38A10E7"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709CB7CE"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47445458" w14:textId="2ED158F0"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w:t>
            </w:r>
            <w:r w:rsidR="00646827">
              <w:rPr>
                <w:rFonts w:ascii="Arial" w:eastAsia="Times New Roman" w:hAnsi="Arial" w:cs="Arial"/>
                <w:b/>
                <w:color w:val="000000"/>
                <w:lang w:eastAsia="es-MX"/>
              </w:rPr>
              <w:t>0.</w:t>
            </w:r>
            <w:r w:rsidR="00D20B71">
              <w:rPr>
                <w:rFonts w:ascii="Arial" w:eastAsia="Times New Roman" w:hAnsi="Arial" w:cs="Arial"/>
                <w:b/>
                <w:color w:val="000000"/>
                <w:lang w:eastAsia="es-MX"/>
              </w:rPr>
              <w:t>00</w:t>
            </w:r>
          </w:p>
        </w:tc>
        <w:tc>
          <w:tcPr>
            <w:tcW w:w="2176" w:type="dxa"/>
            <w:tcBorders>
              <w:top w:val="nil"/>
              <w:left w:val="nil"/>
              <w:bottom w:val="single" w:sz="4" w:space="0" w:color="auto"/>
              <w:right w:val="single" w:sz="4" w:space="0" w:color="auto"/>
            </w:tcBorders>
            <w:shd w:val="clear" w:color="auto" w:fill="auto"/>
            <w:noWrap/>
            <w:hideMark/>
          </w:tcPr>
          <w:p w14:paraId="23648D36"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bl>
    <w:p w14:paraId="42B76847" w14:textId="77777777" w:rsidR="007B7886" w:rsidRPr="007D167D" w:rsidRDefault="007B7886" w:rsidP="007B7886">
      <w:pPr>
        <w:rPr>
          <w:rFonts w:ascii="Arial" w:hAnsi="Arial" w:cs="Arial"/>
        </w:rPr>
      </w:pPr>
    </w:p>
    <w:tbl>
      <w:tblPr>
        <w:tblW w:w="8400" w:type="dxa"/>
        <w:tblCellMar>
          <w:left w:w="70" w:type="dxa"/>
          <w:right w:w="70" w:type="dxa"/>
        </w:tblCellMar>
        <w:tblLook w:val="04A0" w:firstRow="1" w:lastRow="0" w:firstColumn="1" w:lastColumn="0" w:noHBand="0" w:noVBand="1"/>
      </w:tblPr>
      <w:tblGrid>
        <w:gridCol w:w="5245"/>
        <w:gridCol w:w="1559"/>
        <w:gridCol w:w="1596"/>
      </w:tblGrid>
      <w:tr w:rsidR="00712266" w:rsidRPr="007D167D" w14:paraId="1BC2103A" w14:textId="77777777" w:rsidTr="007D167D">
        <w:trPr>
          <w:trHeight w:val="255"/>
        </w:trPr>
        <w:tc>
          <w:tcPr>
            <w:tcW w:w="5245" w:type="dxa"/>
            <w:tcBorders>
              <w:top w:val="nil"/>
              <w:left w:val="nil"/>
              <w:bottom w:val="nil"/>
              <w:right w:val="nil"/>
            </w:tcBorders>
            <w:shd w:val="clear" w:color="auto" w:fill="auto"/>
            <w:noWrap/>
            <w:hideMark/>
          </w:tcPr>
          <w:p w14:paraId="11283706" w14:textId="68149C30" w:rsidR="00712266" w:rsidRPr="007D167D" w:rsidRDefault="008365E9"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c). -</w:t>
            </w:r>
            <w:r w:rsidR="00712266" w:rsidRPr="007D167D">
              <w:rPr>
                <w:rFonts w:ascii="Arial" w:eastAsia="Times New Roman" w:hAnsi="Arial" w:cs="Arial"/>
                <w:color w:val="000000"/>
                <w:lang w:eastAsia="es-MX"/>
              </w:rPr>
              <w:t xml:space="preserve"> Mayor a 180 días y menor o igual a 350</w:t>
            </w:r>
            <w:r w:rsidR="007D167D">
              <w:rPr>
                <w:rFonts w:ascii="Arial" w:eastAsia="Times New Roman" w:hAnsi="Arial" w:cs="Arial"/>
                <w:color w:val="000000"/>
                <w:lang w:eastAsia="es-MX"/>
              </w:rPr>
              <w:t xml:space="preserve"> </w:t>
            </w:r>
            <w:r w:rsidR="00712266" w:rsidRPr="007D167D">
              <w:rPr>
                <w:rFonts w:ascii="Arial" w:eastAsia="Times New Roman" w:hAnsi="Arial" w:cs="Arial"/>
                <w:color w:val="000000"/>
                <w:lang w:eastAsia="es-MX"/>
              </w:rPr>
              <w:t>días</w:t>
            </w:r>
          </w:p>
        </w:tc>
        <w:tc>
          <w:tcPr>
            <w:tcW w:w="1559" w:type="dxa"/>
            <w:tcBorders>
              <w:top w:val="nil"/>
              <w:left w:val="nil"/>
              <w:bottom w:val="nil"/>
              <w:right w:val="nil"/>
            </w:tcBorders>
            <w:shd w:val="clear" w:color="auto" w:fill="auto"/>
            <w:noWrap/>
            <w:hideMark/>
          </w:tcPr>
          <w:p w14:paraId="4ED3A2BE" w14:textId="77777777" w:rsidR="00712266" w:rsidRPr="007D167D" w:rsidRDefault="00712266" w:rsidP="00712266">
            <w:pPr>
              <w:spacing w:after="0" w:line="240" w:lineRule="auto"/>
              <w:rPr>
                <w:rFonts w:ascii="Arial" w:eastAsia="Times New Roman" w:hAnsi="Arial" w:cs="Arial"/>
                <w:color w:val="000000"/>
                <w:lang w:eastAsia="es-MX"/>
              </w:rPr>
            </w:pPr>
          </w:p>
        </w:tc>
        <w:tc>
          <w:tcPr>
            <w:tcW w:w="1596" w:type="dxa"/>
            <w:tcBorders>
              <w:top w:val="nil"/>
              <w:left w:val="nil"/>
              <w:bottom w:val="nil"/>
              <w:right w:val="nil"/>
            </w:tcBorders>
            <w:shd w:val="clear" w:color="auto" w:fill="auto"/>
            <w:noWrap/>
            <w:hideMark/>
          </w:tcPr>
          <w:p w14:paraId="28172A64"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5CD098F" w14:textId="77777777" w:rsidTr="007D167D">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14:paraId="7EF548F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22FE6D3A" w14:textId="77777777" w:rsidR="00712266" w:rsidRPr="007D167D" w:rsidRDefault="00712266" w:rsidP="00971ABD">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971ABD" w:rsidRPr="007D167D">
              <w:rPr>
                <w:rFonts w:ascii="Arial" w:eastAsia="Times New Roman" w:hAnsi="Arial" w:cs="Arial"/>
                <w:color w:val="000000"/>
                <w:lang w:eastAsia="es-MX"/>
              </w:rPr>
              <w:t>$0.00</w:t>
            </w:r>
          </w:p>
        </w:tc>
        <w:tc>
          <w:tcPr>
            <w:tcW w:w="1596" w:type="dxa"/>
            <w:tcBorders>
              <w:top w:val="single" w:sz="4" w:space="0" w:color="auto"/>
              <w:left w:val="nil"/>
              <w:bottom w:val="single" w:sz="4" w:space="0" w:color="auto"/>
              <w:right w:val="single" w:sz="4" w:space="0" w:color="auto"/>
            </w:tcBorders>
            <w:shd w:val="clear" w:color="auto" w:fill="auto"/>
            <w:noWrap/>
            <w:hideMark/>
          </w:tcPr>
          <w:p w14:paraId="15B11706"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75625BE0"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65F49E9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74761446" w14:textId="7869BCA1"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646827">
              <w:rPr>
                <w:rFonts w:ascii="Arial" w:eastAsia="Times New Roman" w:hAnsi="Arial" w:cs="Arial"/>
                <w:color w:val="000000"/>
                <w:lang w:eastAsia="es-MX"/>
              </w:rPr>
              <w:t>5</w:t>
            </w:r>
            <w:r w:rsidR="00D20B71">
              <w:rPr>
                <w:rFonts w:ascii="Arial" w:eastAsia="Times New Roman" w:hAnsi="Arial" w:cs="Arial"/>
                <w:color w:val="000000"/>
                <w:lang w:eastAsia="es-MX"/>
              </w:rPr>
              <w:t>9</w:t>
            </w:r>
            <w:r w:rsidR="00646827">
              <w:rPr>
                <w:rFonts w:ascii="Arial" w:eastAsia="Times New Roman" w:hAnsi="Arial" w:cs="Arial"/>
                <w:color w:val="000000"/>
                <w:lang w:eastAsia="es-MX"/>
              </w:rPr>
              <w:t>,9</w:t>
            </w:r>
            <w:r w:rsidR="00D20B71">
              <w:rPr>
                <w:rFonts w:ascii="Arial" w:eastAsia="Times New Roman" w:hAnsi="Arial" w:cs="Arial"/>
                <w:color w:val="000000"/>
                <w:lang w:eastAsia="es-MX"/>
              </w:rPr>
              <w:t>24</w:t>
            </w:r>
            <w:r w:rsidR="00646827">
              <w:rPr>
                <w:rFonts w:ascii="Arial" w:eastAsia="Times New Roman" w:hAnsi="Arial" w:cs="Arial"/>
                <w:color w:val="000000"/>
                <w:lang w:eastAsia="es-MX"/>
              </w:rPr>
              <w:t>.</w:t>
            </w:r>
            <w:r w:rsidR="00D20B71">
              <w:rPr>
                <w:rFonts w:ascii="Arial" w:eastAsia="Times New Roman" w:hAnsi="Arial" w:cs="Arial"/>
                <w:color w:val="000000"/>
                <w:lang w:eastAsia="es-MX"/>
              </w:rPr>
              <w:t>9</w:t>
            </w:r>
            <w:r w:rsidR="00646827">
              <w:rPr>
                <w:rFonts w:ascii="Arial" w:eastAsia="Times New Roman" w:hAnsi="Arial" w:cs="Arial"/>
                <w:color w:val="000000"/>
                <w:lang w:eastAsia="es-MX"/>
              </w:rPr>
              <w:t>6</w:t>
            </w:r>
          </w:p>
        </w:tc>
        <w:tc>
          <w:tcPr>
            <w:tcW w:w="1596" w:type="dxa"/>
            <w:tcBorders>
              <w:top w:val="nil"/>
              <w:left w:val="nil"/>
              <w:bottom w:val="single" w:sz="4" w:space="0" w:color="auto"/>
              <w:right w:val="single" w:sz="4" w:space="0" w:color="auto"/>
            </w:tcBorders>
            <w:shd w:val="clear" w:color="auto" w:fill="auto"/>
            <w:noWrap/>
            <w:hideMark/>
          </w:tcPr>
          <w:p w14:paraId="70F4AB7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E386523"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596B9F61"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10CE2196"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596" w:type="dxa"/>
            <w:tcBorders>
              <w:top w:val="nil"/>
              <w:left w:val="nil"/>
              <w:bottom w:val="single" w:sz="4" w:space="0" w:color="auto"/>
              <w:right w:val="single" w:sz="4" w:space="0" w:color="auto"/>
            </w:tcBorders>
            <w:shd w:val="clear" w:color="auto" w:fill="auto"/>
            <w:noWrap/>
            <w:hideMark/>
          </w:tcPr>
          <w:p w14:paraId="4EEB26B2"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E6BF6EF"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448CCDD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68C0F6E2"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596" w:type="dxa"/>
            <w:tcBorders>
              <w:top w:val="nil"/>
              <w:left w:val="nil"/>
              <w:bottom w:val="single" w:sz="4" w:space="0" w:color="auto"/>
              <w:right w:val="single" w:sz="4" w:space="0" w:color="auto"/>
            </w:tcBorders>
            <w:shd w:val="clear" w:color="auto" w:fill="auto"/>
            <w:noWrap/>
            <w:hideMark/>
          </w:tcPr>
          <w:p w14:paraId="4DCC3722"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72FE88B"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7EECF1A8"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62FFBB22"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596" w:type="dxa"/>
            <w:tcBorders>
              <w:top w:val="nil"/>
              <w:left w:val="nil"/>
              <w:bottom w:val="single" w:sz="4" w:space="0" w:color="auto"/>
              <w:right w:val="single" w:sz="4" w:space="0" w:color="auto"/>
            </w:tcBorders>
            <w:shd w:val="clear" w:color="auto" w:fill="auto"/>
            <w:noWrap/>
            <w:hideMark/>
          </w:tcPr>
          <w:p w14:paraId="07BADFF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3CA83CDE"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73F8EB18"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2F5FE650" w14:textId="6BC8D405"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646827">
              <w:rPr>
                <w:rFonts w:ascii="Arial" w:eastAsia="Times New Roman" w:hAnsi="Arial" w:cs="Arial"/>
                <w:b/>
                <w:color w:val="000000"/>
                <w:lang w:eastAsia="es-MX"/>
              </w:rPr>
              <w:t>5</w:t>
            </w:r>
            <w:r w:rsidR="00D20B71">
              <w:rPr>
                <w:rFonts w:ascii="Arial" w:eastAsia="Times New Roman" w:hAnsi="Arial" w:cs="Arial"/>
                <w:b/>
                <w:color w:val="000000"/>
                <w:lang w:eastAsia="es-MX"/>
              </w:rPr>
              <w:t>9</w:t>
            </w:r>
            <w:r w:rsidR="00646827">
              <w:rPr>
                <w:rFonts w:ascii="Arial" w:eastAsia="Times New Roman" w:hAnsi="Arial" w:cs="Arial"/>
                <w:b/>
                <w:color w:val="000000"/>
                <w:lang w:eastAsia="es-MX"/>
              </w:rPr>
              <w:t>,9</w:t>
            </w:r>
            <w:r w:rsidR="00D20B71">
              <w:rPr>
                <w:rFonts w:ascii="Arial" w:eastAsia="Times New Roman" w:hAnsi="Arial" w:cs="Arial"/>
                <w:b/>
                <w:color w:val="000000"/>
                <w:lang w:eastAsia="es-MX"/>
              </w:rPr>
              <w:t>24</w:t>
            </w:r>
            <w:r w:rsidR="00646827">
              <w:rPr>
                <w:rFonts w:ascii="Arial" w:eastAsia="Times New Roman" w:hAnsi="Arial" w:cs="Arial"/>
                <w:b/>
                <w:color w:val="000000"/>
                <w:lang w:eastAsia="es-MX"/>
              </w:rPr>
              <w:t>.</w:t>
            </w:r>
            <w:r w:rsidR="00D20B71">
              <w:rPr>
                <w:rFonts w:ascii="Arial" w:eastAsia="Times New Roman" w:hAnsi="Arial" w:cs="Arial"/>
                <w:b/>
                <w:color w:val="000000"/>
                <w:lang w:eastAsia="es-MX"/>
              </w:rPr>
              <w:t>9</w:t>
            </w:r>
            <w:r w:rsidR="00646827">
              <w:rPr>
                <w:rFonts w:ascii="Arial" w:eastAsia="Times New Roman" w:hAnsi="Arial" w:cs="Arial"/>
                <w:b/>
                <w:color w:val="000000"/>
                <w:lang w:eastAsia="es-MX"/>
              </w:rPr>
              <w:t>6</w:t>
            </w:r>
          </w:p>
        </w:tc>
        <w:tc>
          <w:tcPr>
            <w:tcW w:w="1596" w:type="dxa"/>
            <w:tcBorders>
              <w:top w:val="nil"/>
              <w:left w:val="nil"/>
              <w:bottom w:val="single" w:sz="4" w:space="0" w:color="auto"/>
              <w:right w:val="single" w:sz="4" w:space="0" w:color="auto"/>
            </w:tcBorders>
            <w:shd w:val="clear" w:color="auto" w:fill="auto"/>
            <w:noWrap/>
            <w:hideMark/>
          </w:tcPr>
          <w:p w14:paraId="0D1368CD" w14:textId="77777777" w:rsidR="00712266" w:rsidRPr="007D167D" w:rsidRDefault="00712266" w:rsidP="00712266">
            <w:pPr>
              <w:spacing w:after="0" w:line="240" w:lineRule="auto"/>
              <w:rPr>
                <w:rFonts w:ascii="Arial" w:eastAsia="Times New Roman" w:hAnsi="Arial" w:cs="Arial"/>
                <w:b/>
                <w:color w:val="000000"/>
                <w:lang w:eastAsia="es-MX"/>
              </w:rPr>
            </w:pPr>
            <w:r w:rsidRPr="007D167D">
              <w:rPr>
                <w:rFonts w:ascii="Arial" w:eastAsia="Times New Roman" w:hAnsi="Arial" w:cs="Arial"/>
                <w:b/>
                <w:color w:val="000000"/>
                <w:lang w:eastAsia="es-MX"/>
              </w:rPr>
              <w:t> </w:t>
            </w:r>
          </w:p>
        </w:tc>
      </w:tr>
      <w:tr w:rsidR="00712266" w:rsidRPr="007D167D" w14:paraId="273199FF" w14:textId="77777777" w:rsidTr="007D167D">
        <w:trPr>
          <w:trHeight w:val="255"/>
        </w:trPr>
        <w:tc>
          <w:tcPr>
            <w:tcW w:w="5245" w:type="dxa"/>
            <w:tcBorders>
              <w:top w:val="nil"/>
              <w:left w:val="nil"/>
              <w:bottom w:val="nil"/>
              <w:right w:val="nil"/>
            </w:tcBorders>
            <w:shd w:val="clear" w:color="auto" w:fill="auto"/>
            <w:noWrap/>
            <w:hideMark/>
          </w:tcPr>
          <w:p w14:paraId="1D33D390" w14:textId="77777777" w:rsidR="00712266" w:rsidRPr="007D167D" w:rsidRDefault="00712266" w:rsidP="00712266">
            <w:pPr>
              <w:spacing w:after="0" w:line="240" w:lineRule="auto"/>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6847F6A7" w14:textId="77777777" w:rsidR="00712266" w:rsidRPr="007D167D" w:rsidRDefault="00712266" w:rsidP="00244552">
            <w:pPr>
              <w:spacing w:after="0" w:line="240" w:lineRule="auto"/>
              <w:jc w:val="right"/>
              <w:rPr>
                <w:rFonts w:ascii="Times New Roman" w:eastAsia="Times New Roman" w:hAnsi="Times New Roman" w:cs="Times New Roman"/>
                <w:lang w:eastAsia="es-MX"/>
              </w:rPr>
            </w:pPr>
          </w:p>
        </w:tc>
        <w:tc>
          <w:tcPr>
            <w:tcW w:w="1596" w:type="dxa"/>
            <w:tcBorders>
              <w:top w:val="nil"/>
              <w:left w:val="nil"/>
              <w:bottom w:val="nil"/>
              <w:right w:val="nil"/>
            </w:tcBorders>
            <w:shd w:val="clear" w:color="auto" w:fill="auto"/>
            <w:noWrap/>
            <w:hideMark/>
          </w:tcPr>
          <w:p w14:paraId="2BCE5F7A"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F524A31" w14:textId="77777777" w:rsidTr="007D167D">
        <w:trPr>
          <w:trHeight w:val="255"/>
        </w:trPr>
        <w:tc>
          <w:tcPr>
            <w:tcW w:w="5245" w:type="dxa"/>
            <w:tcBorders>
              <w:top w:val="nil"/>
              <w:left w:val="nil"/>
              <w:bottom w:val="nil"/>
              <w:right w:val="nil"/>
            </w:tcBorders>
            <w:shd w:val="clear" w:color="auto" w:fill="auto"/>
            <w:noWrap/>
            <w:hideMark/>
          </w:tcPr>
          <w:p w14:paraId="34ED9AD6" w14:textId="200A69EF" w:rsidR="00712266" w:rsidRPr="007D167D" w:rsidRDefault="008365E9"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 -</w:t>
            </w:r>
            <w:r w:rsidR="00712266" w:rsidRPr="007D167D">
              <w:rPr>
                <w:rFonts w:ascii="Arial" w:eastAsia="Times New Roman" w:hAnsi="Arial" w:cs="Arial"/>
                <w:color w:val="000000"/>
                <w:lang w:eastAsia="es-MX"/>
              </w:rPr>
              <w:t xml:space="preserve"> </w:t>
            </w:r>
            <w:r w:rsidRPr="007D167D">
              <w:rPr>
                <w:rFonts w:ascii="Arial" w:eastAsia="Times New Roman" w:hAnsi="Arial" w:cs="Arial"/>
                <w:color w:val="000000"/>
                <w:lang w:eastAsia="es-MX"/>
              </w:rPr>
              <w:t>Mayor a</w:t>
            </w:r>
            <w:r w:rsidR="00712266" w:rsidRPr="007D167D">
              <w:rPr>
                <w:rFonts w:ascii="Arial" w:eastAsia="Times New Roman" w:hAnsi="Arial" w:cs="Arial"/>
                <w:color w:val="000000"/>
                <w:lang w:eastAsia="es-MX"/>
              </w:rPr>
              <w:t xml:space="preserve"> 350 días</w:t>
            </w:r>
          </w:p>
        </w:tc>
        <w:tc>
          <w:tcPr>
            <w:tcW w:w="1559" w:type="dxa"/>
            <w:tcBorders>
              <w:top w:val="nil"/>
              <w:left w:val="nil"/>
              <w:bottom w:val="nil"/>
              <w:right w:val="nil"/>
            </w:tcBorders>
            <w:shd w:val="clear" w:color="auto" w:fill="auto"/>
            <w:noWrap/>
            <w:hideMark/>
          </w:tcPr>
          <w:p w14:paraId="1A59DD5C" w14:textId="77777777" w:rsidR="00712266" w:rsidRPr="007D167D" w:rsidRDefault="00712266" w:rsidP="00244552">
            <w:pPr>
              <w:spacing w:after="0" w:line="240" w:lineRule="auto"/>
              <w:jc w:val="right"/>
              <w:rPr>
                <w:rFonts w:ascii="Arial" w:eastAsia="Times New Roman" w:hAnsi="Arial" w:cs="Arial"/>
                <w:color w:val="000000"/>
                <w:lang w:eastAsia="es-MX"/>
              </w:rPr>
            </w:pPr>
          </w:p>
        </w:tc>
        <w:tc>
          <w:tcPr>
            <w:tcW w:w="1596" w:type="dxa"/>
            <w:tcBorders>
              <w:top w:val="nil"/>
              <w:left w:val="nil"/>
              <w:bottom w:val="nil"/>
              <w:right w:val="nil"/>
            </w:tcBorders>
            <w:shd w:val="clear" w:color="auto" w:fill="auto"/>
            <w:noWrap/>
            <w:hideMark/>
          </w:tcPr>
          <w:p w14:paraId="048DCF31"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2BCD7B56" w14:textId="77777777" w:rsidTr="007D167D">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14:paraId="22F506E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2D16A23D"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$0.00</w:t>
            </w:r>
            <w:r w:rsidR="00712266" w:rsidRPr="007D167D">
              <w:rPr>
                <w:rFonts w:ascii="Arial" w:eastAsia="Times New Roman" w:hAnsi="Arial" w:cs="Arial"/>
                <w:color w:val="000000"/>
                <w:lang w:eastAsia="es-MX"/>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585ABB3A"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16B190EF"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05014EDD"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1E3B25BD" w14:textId="15FC9BC4"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D20B71">
              <w:rPr>
                <w:rFonts w:ascii="Arial" w:eastAsia="Times New Roman" w:hAnsi="Arial" w:cs="Arial"/>
                <w:color w:val="000000"/>
                <w:lang w:eastAsia="es-MX"/>
              </w:rPr>
              <w:t>16,011.36</w:t>
            </w:r>
          </w:p>
        </w:tc>
        <w:tc>
          <w:tcPr>
            <w:tcW w:w="1596" w:type="dxa"/>
            <w:tcBorders>
              <w:top w:val="nil"/>
              <w:left w:val="nil"/>
              <w:bottom w:val="single" w:sz="4" w:space="0" w:color="auto"/>
              <w:right w:val="single" w:sz="4" w:space="0" w:color="auto"/>
            </w:tcBorders>
            <w:shd w:val="clear" w:color="auto" w:fill="auto"/>
            <w:noWrap/>
            <w:hideMark/>
          </w:tcPr>
          <w:p w14:paraId="5E239901"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107161E"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3511E4E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0A8882F0" w14:textId="77777777" w:rsidR="00712266" w:rsidRPr="007D167D" w:rsidRDefault="00712266"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w:t>
            </w:r>
            <w:r w:rsidR="00753087" w:rsidRPr="007D167D">
              <w:rPr>
                <w:rFonts w:ascii="Arial" w:eastAsia="Times New Roman" w:hAnsi="Arial" w:cs="Arial"/>
                <w:color w:val="000000"/>
                <w:lang w:eastAsia="es-MX"/>
              </w:rPr>
              <w:t>0</w:t>
            </w:r>
            <w:r w:rsidR="002E557E" w:rsidRPr="007D167D">
              <w:rPr>
                <w:rFonts w:ascii="Arial" w:eastAsia="Times New Roman" w:hAnsi="Arial" w:cs="Arial"/>
                <w:color w:val="000000"/>
                <w:lang w:eastAsia="es-MX"/>
              </w:rPr>
              <w:t>.00</w:t>
            </w:r>
          </w:p>
        </w:tc>
        <w:tc>
          <w:tcPr>
            <w:tcW w:w="1596" w:type="dxa"/>
            <w:tcBorders>
              <w:top w:val="nil"/>
              <w:left w:val="nil"/>
              <w:bottom w:val="single" w:sz="4" w:space="0" w:color="auto"/>
              <w:right w:val="single" w:sz="4" w:space="0" w:color="auto"/>
            </w:tcBorders>
            <w:shd w:val="clear" w:color="auto" w:fill="auto"/>
            <w:noWrap/>
            <w:hideMark/>
          </w:tcPr>
          <w:p w14:paraId="3213EA0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8024FA7"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47E8607A"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38CA1185" w14:textId="77777777" w:rsidR="00712266" w:rsidRPr="007D167D" w:rsidRDefault="00712266"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$0</w:t>
            </w:r>
            <w:r w:rsidR="00753087" w:rsidRPr="007D167D">
              <w:rPr>
                <w:rFonts w:ascii="Arial" w:eastAsia="Times New Roman" w:hAnsi="Arial" w:cs="Arial"/>
                <w:color w:val="000000"/>
                <w:lang w:eastAsia="es-MX"/>
              </w:rPr>
              <w:t>.00</w:t>
            </w:r>
          </w:p>
        </w:tc>
        <w:tc>
          <w:tcPr>
            <w:tcW w:w="1596" w:type="dxa"/>
            <w:tcBorders>
              <w:top w:val="nil"/>
              <w:left w:val="nil"/>
              <w:bottom w:val="single" w:sz="4" w:space="0" w:color="auto"/>
              <w:right w:val="single" w:sz="4" w:space="0" w:color="auto"/>
            </w:tcBorders>
            <w:shd w:val="clear" w:color="auto" w:fill="auto"/>
            <w:noWrap/>
            <w:hideMark/>
          </w:tcPr>
          <w:p w14:paraId="3B0EF60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34396DEA"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1BB687F8"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448B07D1" w14:textId="77777777" w:rsidR="00712266" w:rsidRPr="007D167D" w:rsidRDefault="00712266"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w:t>
            </w:r>
            <w:r w:rsidR="002E557E" w:rsidRPr="007D167D">
              <w:rPr>
                <w:rFonts w:ascii="Arial" w:eastAsia="Times New Roman" w:hAnsi="Arial" w:cs="Arial"/>
                <w:color w:val="000000"/>
                <w:lang w:eastAsia="es-MX"/>
              </w:rPr>
              <w:t>0.</w:t>
            </w:r>
            <w:r w:rsidR="00753087" w:rsidRPr="007D167D">
              <w:rPr>
                <w:rFonts w:ascii="Arial" w:eastAsia="Times New Roman" w:hAnsi="Arial" w:cs="Arial"/>
                <w:color w:val="000000"/>
                <w:lang w:eastAsia="es-MX"/>
              </w:rPr>
              <w:t>00</w:t>
            </w:r>
          </w:p>
        </w:tc>
        <w:tc>
          <w:tcPr>
            <w:tcW w:w="1596" w:type="dxa"/>
            <w:tcBorders>
              <w:top w:val="nil"/>
              <w:left w:val="nil"/>
              <w:bottom w:val="single" w:sz="4" w:space="0" w:color="auto"/>
              <w:right w:val="single" w:sz="4" w:space="0" w:color="auto"/>
            </w:tcBorders>
            <w:shd w:val="clear" w:color="auto" w:fill="auto"/>
            <w:noWrap/>
            <w:hideMark/>
          </w:tcPr>
          <w:p w14:paraId="24B7A4C9"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3015EE9"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1A3A7B02"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508DBCC3" w14:textId="2230678C"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D20B71">
              <w:rPr>
                <w:rFonts w:ascii="Arial" w:eastAsia="Times New Roman" w:hAnsi="Arial" w:cs="Arial"/>
                <w:b/>
                <w:color w:val="000000"/>
                <w:lang w:eastAsia="es-MX"/>
              </w:rPr>
              <w:t>16,011.36</w:t>
            </w:r>
          </w:p>
        </w:tc>
        <w:tc>
          <w:tcPr>
            <w:tcW w:w="1596" w:type="dxa"/>
            <w:tcBorders>
              <w:top w:val="nil"/>
              <w:left w:val="nil"/>
              <w:bottom w:val="single" w:sz="4" w:space="0" w:color="auto"/>
              <w:right w:val="single" w:sz="4" w:space="0" w:color="auto"/>
            </w:tcBorders>
            <w:shd w:val="clear" w:color="auto" w:fill="auto"/>
            <w:noWrap/>
            <w:hideMark/>
          </w:tcPr>
          <w:p w14:paraId="688F782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3B3405B" w14:textId="77777777" w:rsidTr="007D167D">
        <w:trPr>
          <w:trHeight w:val="255"/>
        </w:trPr>
        <w:tc>
          <w:tcPr>
            <w:tcW w:w="5245" w:type="dxa"/>
            <w:tcBorders>
              <w:top w:val="nil"/>
              <w:left w:val="nil"/>
              <w:bottom w:val="nil"/>
              <w:right w:val="nil"/>
            </w:tcBorders>
            <w:shd w:val="clear" w:color="auto" w:fill="auto"/>
            <w:noWrap/>
            <w:hideMark/>
          </w:tcPr>
          <w:p w14:paraId="46A2FC51" w14:textId="77777777" w:rsidR="00712266" w:rsidRPr="007D167D" w:rsidRDefault="00712266" w:rsidP="00712266">
            <w:pPr>
              <w:spacing w:after="0" w:line="240" w:lineRule="auto"/>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75B689F0" w14:textId="77777777" w:rsidR="00712266" w:rsidRPr="007D167D" w:rsidRDefault="00712266" w:rsidP="00244552">
            <w:pPr>
              <w:spacing w:after="0" w:line="240" w:lineRule="auto"/>
              <w:jc w:val="right"/>
              <w:rPr>
                <w:rFonts w:ascii="Times New Roman" w:eastAsia="Times New Roman" w:hAnsi="Times New Roman" w:cs="Times New Roman"/>
                <w:lang w:eastAsia="es-MX"/>
              </w:rPr>
            </w:pPr>
          </w:p>
        </w:tc>
        <w:tc>
          <w:tcPr>
            <w:tcW w:w="1596" w:type="dxa"/>
            <w:tcBorders>
              <w:top w:val="nil"/>
              <w:left w:val="nil"/>
              <w:bottom w:val="nil"/>
              <w:right w:val="nil"/>
            </w:tcBorders>
            <w:shd w:val="clear" w:color="auto" w:fill="auto"/>
            <w:noWrap/>
            <w:hideMark/>
          </w:tcPr>
          <w:p w14:paraId="76D6A635"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582998D9" w14:textId="77777777" w:rsidTr="007D167D">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14:paraId="2EB8BBB3" w14:textId="77777777" w:rsidR="00712266" w:rsidRPr="007D167D" w:rsidRDefault="00712266" w:rsidP="00712266">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Total</w:t>
            </w:r>
          </w:p>
        </w:tc>
        <w:tc>
          <w:tcPr>
            <w:tcW w:w="1559" w:type="dxa"/>
            <w:tcBorders>
              <w:top w:val="single" w:sz="4" w:space="0" w:color="auto"/>
              <w:left w:val="nil"/>
              <w:bottom w:val="single" w:sz="4" w:space="0" w:color="auto"/>
              <w:right w:val="single" w:sz="4" w:space="0" w:color="auto"/>
            </w:tcBorders>
            <w:shd w:val="clear" w:color="auto" w:fill="auto"/>
            <w:noWrap/>
            <w:hideMark/>
          </w:tcPr>
          <w:p w14:paraId="0005974D" w14:textId="21D70052" w:rsidR="00712266" w:rsidRPr="007D167D" w:rsidRDefault="00712266" w:rsidP="00244552">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r w:rsidR="008412F4" w:rsidRPr="007D167D">
              <w:rPr>
                <w:rFonts w:ascii="Arial" w:eastAsia="Times New Roman" w:hAnsi="Arial" w:cs="Arial"/>
                <w:b/>
                <w:bCs/>
                <w:color w:val="000000"/>
                <w:lang w:eastAsia="es-MX"/>
              </w:rPr>
              <w:t>$</w:t>
            </w:r>
            <w:r w:rsidR="006A60AC" w:rsidRPr="007D167D">
              <w:rPr>
                <w:rFonts w:ascii="Arial" w:eastAsia="Times New Roman" w:hAnsi="Arial" w:cs="Arial"/>
                <w:b/>
                <w:bCs/>
                <w:color w:val="000000"/>
                <w:lang w:eastAsia="es-MX"/>
              </w:rPr>
              <w:t xml:space="preserve"> </w:t>
            </w:r>
            <w:r w:rsidR="00D20B71">
              <w:rPr>
                <w:rFonts w:ascii="Arial" w:eastAsia="Times New Roman" w:hAnsi="Arial" w:cs="Arial"/>
                <w:b/>
                <w:bCs/>
                <w:color w:val="000000"/>
                <w:lang w:eastAsia="es-MX"/>
              </w:rPr>
              <w:t>293,182.99</w:t>
            </w:r>
          </w:p>
        </w:tc>
        <w:tc>
          <w:tcPr>
            <w:tcW w:w="1596" w:type="dxa"/>
            <w:tcBorders>
              <w:top w:val="single" w:sz="4" w:space="0" w:color="auto"/>
              <w:left w:val="nil"/>
              <w:bottom w:val="single" w:sz="4" w:space="0" w:color="auto"/>
              <w:right w:val="single" w:sz="4" w:space="0" w:color="auto"/>
            </w:tcBorders>
            <w:shd w:val="clear" w:color="auto" w:fill="auto"/>
            <w:noWrap/>
            <w:hideMark/>
          </w:tcPr>
          <w:p w14:paraId="718A0D35" w14:textId="77777777" w:rsidR="00712266" w:rsidRPr="007D167D" w:rsidRDefault="00712266" w:rsidP="00712266">
            <w:pPr>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p>
        </w:tc>
      </w:tr>
    </w:tbl>
    <w:p w14:paraId="4ED9A881" w14:textId="77777777" w:rsidR="00F11BA9" w:rsidRPr="007D167D" w:rsidRDefault="00F11BA9" w:rsidP="006C148C">
      <w:pPr>
        <w:jc w:val="both"/>
        <w:rPr>
          <w:rFonts w:ascii="Arial" w:hAnsi="Arial" w:cs="Arial"/>
        </w:rPr>
      </w:pPr>
    </w:p>
    <w:p w14:paraId="0F223761" w14:textId="1EB4CAE1" w:rsidR="006C148C" w:rsidRDefault="006C148C" w:rsidP="006C148C">
      <w:pPr>
        <w:jc w:val="both"/>
        <w:rPr>
          <w:rFonts w:ascii="Arial" w:hAnsi="Arial" w:cs="Arial"/>
        </w:rPr>
      </w:pPr>
      <w:r w:rsidRPr="007D167D">
        <w:rPr>
          <w:rFonts w:ascii="Arial" w:hAnsi="Arial" w:cs="Arial"/>
        </w:rPr>
        <w:t>Se informa de manera agrupadas, el monto al 3</w:t>
      </w:r>
      <w:r w:rsidR="00071C10">
        <w:rPr>
          <w:rFonts w:ascii="Arial" w:hAnsi="Arial" w:cs="Arial"/>
        </w:rPr>
        <w:t>1</w:t>
      </w:r>
      <w:r w:rsidR="00456B97" w:rsidRPr="007D167D">
        <w:rPr>
          <w:rFonts w:ascii="Arial" w:hAnsi="Arial" w:cs="Arial"/>
        </w:rPr>
        <w:t xml:space="preserve"> </w:t>
      </w:r>
      <w:r w:rsidRPr="007D167D">
        <w:rPr>
          <w:rFonts w:ascii="Arial" w:hAnsi="Arial" w:cs="Arial"/>
        </w:rPr>
        <w:t xml:space="preserve">de </w:t>
      </w:r>
      <w:r w:rsidR="00D20B71">
        <w:rPr>
          <w:rFonts w:ascii="Arial" w:hAnsi="Arial" w:cs="Arial"/>
        </w:rPr>
        <w:t>dic</w:t>
      </w:r>
      <w:r w:rsidR="00646827">
        <w:rPr>
          <w:rFonts w:ascii="Arial" w:hAnsi="Arial" w:cs="Arial"/>
        </w:rPr>
        <w:t>iembre</w:t>
      </w:r>
      <w:r w:rsidRPr="007D167D">
        <w:rPr>
          <w:rFonts w:ascii="Arial" w:hAnsi="Arial" w:cs="Arial"/>
        </w:rPr>
        <w:t xml:space="preserve"> del 202</w:t>
      </w:r>
      <w:r w:rsidR="00F27F19" w:rsidRPr="007D167D">
        <w:rPr>
          <w:rFonts w:ascii="Arial" w:hAnsi="Arial" w:cs="Arial"/>
        </w:rPr>
        <w:t>4</w:t>
      </w:r>
      <w:r w:rsidRPr="007D167D">
        <w:rPr>
          <w:rFonts w:ascii="Arial" w:hAnsi="Arial" w:cs="Arial"/>
        </w:rPr>
        <w:t xml:space="preserve"> de los derechos a recibir bienes o servicios (excepto cuentas por cobrar de contribuciones o fideicomisos que se encuentran dentro de inversiones financieras, participaciones y aportaciones de capital) en una desagregación por su vencimiento en días a 90, 180, menor o igual a 365 y mayor a 365. </w:t>
      </w:r>
      <w:r w:rsidRPr="007D167D">
        <w:rPr>
          <w:rFonts w:ascii="Arial" w:hAnsi="Arial" w:cs="Arial"/>
        </w:rPr>
        <w:lastRenderedPageBreak/>
        <w:t xml:space="preserve">Adicionalmente se informa de las características cualitativas relevantes que les afectan a estas cuentas: </w:t>
      </w:r>
    </w:p>
    <w:tbl>
      <w:tblPr>
        <w:tblW w:w="8584" w:type="dxa"/>
        <w:tblCellMar>
          <w:left w:w="70" w:type="dxa"/>
          <w:right w:w="70" w:type="dxa"/>
        </w:tblCellMar>
        <w:tblLook w:val="04A0" w:firstRow="1" w:lastRow="0" w:firstColumn="1" w:lastColumn="0" w:noHBand="0" w:noVBand="1"/>
      </w:tblPr>
      <w:tblGrid>
        <w:gridCol w:w="5382"/>
        <w:gridCol w:w="959"/>
        <w:gridCol w:w="2243"/>
      </w:tblGrid>
      <w:tr w:rsidR="006C148C" w:rsidRPr="007D167D" w14:paraId="0B6CF5FA" w14:textId="77777777" w:rsidTr="00AE10DA">
        <w:trPr>
          <w:trHeight w:val="199"/>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2EB347E6" w14:textId="5F6E13A5" w:rsidR="006C148C" w:rsidRPr="00AE10DA" w:rsidRDefault="008365E9" w:rsidP="001720DB">
            <w:pPr>
              <w:spacing w:after="0" w:line="240" w:lineRule="auto"/>
              <w:jc w:val="both"/>
              <w:rPr>
                <w:rFonts w:ascii="Arial" w:eastAsia="Times New Roman" w:hAnsi="Arial" w:cs="Arial"/>
                <w:b/>
                <w:bCs/>
                <w:color w:val="000000"/>
                <w:sz w:val="20"/>
                <w:szCs w:val="20"/>
                <w:lang w:eastAsia="es-MX"/>
              </w:rPr>
            </w:pPr>
            <w:r w:rsidRPr="00AE10DA">
              <w:rPr>
                <w:rFonts w:ascii="Arial" w:eastAsia="Times New Roman" w:hAnsi="Arial" w:cs="Arial"/>
                <w:b/>
                <w:bCs/>
                <w:color w:val="000000"/>
                <w:sz w:val="20"/>
                <w:szCs w:val="20"/>
                <w:lang w:eastAsia="es-MX"/>
              </w:rPr>
              <w:t>DERECHOS A</w:t>
            </w:r>
            <w:r w:rsidR="006C148C" w:rsidRPr="00AE10DA">
              <w:rPr>
                <w:rFonts w:ascii="Arial" w:eastAsia="Times New Roman" w:hAnsi="Arial" w:cs="Arial"/>
                <w:b/>
                <w:bCs/>
                <w:color w:val="000000"/>
                <w:sz w:val="20"/>
                <w:szCs w:val="20"/>
                <w:lang w:eastAsia="es-MX"/>
              </w:rPr>
              <w:t xml:space="preserve"> RECIBIR BIENES O SERVICIOS</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EDA1D38" w14:textId="77777777" w:rsidR="006C148C" w:rsidRPr="00AE10DA" w:rsidRDefault="006C148C" w:rsidP="001720DB">
            <w:pPr>
              <w:spacing w:after="0" w:line="240" w:lineRule="auto"/>
              <w:jc w:val="center"/>
              <w:rPr>
                <w:rFonts w:ascii="Arial" w:eastAsia="Times New Roman" w:hAnsi="Arial" w:cs="Arial"/>
                <w:b/>
                <w:bCs/>
                <w:color w:val="000000"/>
                <w:sz w:val="20"/>
                <w:szCs w:val="20"/>
                <w:lang w:eastAsia="es-MX"/>
              </w:rPr>
            </w:pPr>
            <w:r w:rsidRPr="00AE10DA">
              <w:rPr>
                <w:rFonts w:ascii="Arial" w:eastAsia="Times New Roman" w:hAnsi="Arial" w:cs="Arial"/>
                <w:b/>
                <w:bCs/>
                <w:color w:val="000000"/>
                <w:sz w:val="20"/>
                <w:szCs w:val="20"/>
                <w:lang w:eastAsia="es-MX"/>
              </w:rPr>
              <w:t>MONTO</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09FBEF2" w14:textId="77777777" w:rsidR="006C148C" w:rsidRPr="00AE10DA" w:rsidRDefault="006C148C" w:rsidP="001720DB">
            <w:pPr>
              <w:spacing w:after="0" w:line="240" w:lineRule="auto"/>
              <w:jc w:val="center"/>
              <w:rPr>
                <w:rFonts w:ascii="Arial" w:eastAsia="Times New Roman" w:hAnsi="Arial" w:cs="Arial"/>
                <w:b/>
                <w:bCs/>
                <w:color w:val="000000"/>
                <w:sz w:val="20"/>
                <w:szCs w:val="20"/>
                <w:lang w:eastAsia="es-MX"/>
              </w:rPr>
            </w:pPr>
            <w:r w:rsidRPr="00AE10DA">
              <w:rPr>
                <w:rFonts w:ascii="Arial" w:eastAsia="Times New Roman" w:hAnsi="Arial" w:cs="Arial"/>
                <w:b/>
                <w:bCs/>
                <w:color w:val="000000"/>
                <w:sz w:val="20"/>
                <w:szCs w:val="20"/>
                <w:lang w:eastAsia="es-MX"/>
              </w:rPr>
              <w:t>CARACTERISTICAS CUALITATIVAS</w:t>
            </w:r>
          </w:p>
        </w:tc>
      </w:tr>
      <w:tr w:rsidR="006C148C" w:rsidRPr="007D167D" w14:paraId="1BC90DF6" w14:textId="77777777" w:rsidTr="00AE10DA">
        <w:trPr>
          <w:trHeight w:val="247"/>
        </w:trPr>
        <w:tc>
          <w:tcPr>
            <w:tcW w:w="5382" w:type="dxa"/>
            <w:tcBorders>
              <w:top w:val="nil"/>
              <w:left w:val="nil"/>
              <w:bottom w:val="nil"/>
              <w:right w:val="nil"/>
            </w:tcBorders>
            <w:shd w:val="clear" w:color="auto" w:fill="auto"/>
            <w:noWrap/>
            <w:hideMark/>
          </w:tcPr>
          <w:p w14:paraId="6E2523CD" w14:textId="5F2AA986"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a</w:t>
            </w:r>
            <w:r w:rsidR="008365E9" w:rsidRPr="007D167D">
              <w:rPr>
                <w:rFonts w:ascii="Arial" w:eastAsia="Times New Roman" w:hAnsi="Arial" w:cs="Arial"/>
                <w:color w:val="000000"/>
                <w:lang w:eastAsia="es-MX"/>
              </w:rPr>
              <w:t>). -</w:t>
            </w:r>
            <w:r w:rsidRPr="007D167D">
              <w:rPr>
                <w:rFonts w:ascii="Arial" w:eastAsia="Times New Roman" w:hAnsi="Arial" w:cs="Arial"/>
                <w:color w:val="000000"/>
                <w:lang w:eastAsia="es-MX"/>
              </w:rPr>
              <w:t xml:space="preserve"> Menor o igual a 90 días</w:t>
            </w:r>
          </w:p>
        </w:tc>
        <w:tc>
          <w:tcPr>
            <w:tcW w:w="959" w:type="dxa"/>
            <w:tcBorders>
              <w:top w:val="nil"/>
              <w:left w:val="nil"/>
              <w:bottom w:val="nil"/>
              <w:right w:val="nil"/>
            </w:tcBorders>
            <w:shd w:val="clear" w:color="auto" w:fill="auto"/>
            <w:noWrap/>
            <w:hideMark/>
          </w:tcPr>
          <w:p w14:paraId="21DB6CB8" w14:textId="77777777" w:rsidR="006C148C" w:rsidRPr="007D167D" w:rsidRDefault="006C148C" w:rsidP="001720DB">
            <w:pPr>
              <w:spacing w:after="0" w:line="240" w:lineRule="auto"/>
              <w:rPr>
                <w:rFonts w:ascii="Arial" w:eastAsia="Times New Roman" w:hAnsi="Arial" w:cs="Arial"/>
                <w:color w:val="000000"/>
                <w:lang w:eastAsia="es-MX"/>
              </w:rPr>
            </w:pPr>
          </w:p>
        </w:tc>
        <w:tc>
          <w:tcPr>
            <w:tcW w:w="2243" w:type="dxa"/>
            <w:tcBorders>
              <w:top w:val="nil"/>
              <w:left w:val="nil"/>
              <w:bottom w:val="nil"/>
              <w:right w:val="nil"/>
            </w:tcBorders>
            <w:shd w:val="clear" w:color="auto" w:fill="auto"/>
            <w:noWrap/>
            <w:hideMark/>
          </w:tcPr>
          <w:p w14:paraId="79E686AA" w14:textId="77777777" w:rsidR="006C148C" w:rsidRPr="007D167D" w:rsidRDefault="006C148C" w:rsidP="001720DB">
            <w:pPr>
              <w:spacing w:after="0" w:line="240" w:lineRule="auto"/>
              <w:rPr>
                <w:rFonts w:ascii="Times New Roman" w:eastAsia="Times New Roman" w:hAnsi="Times New Roman" w:cs="Times New Roman"/>
                <w:lang w:eastAsia="es-MX"/>
              </w:rPr>
            </w:pPr>
          </w:p>
        </w:tc>
      </w:tr>
      <w:tr w:rsidR="006C148C" w:rsidRPr="007D167D" w14:paraId="4C5DFB7E" w14:textId="77777777" w:rsidTr="00AE10DA">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B2966EB"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959" w:type="dxa"/>
            <w:tcBorders>
              <w:top w:val="single" w:sz="4" w:space="0" w:color="auto"/>
              <w:left w:val="nil"/>
              <w:bottom w:val="single" w:sz="4" w:space="0" w:color="auto"/>
              <w:right w:val="single" w:sz="4" w:space="0" w:color="auto"/>
            </w:tcBorders>
            <w:shd w:val="clear" w:color="auto" w:fill="auto"/>
            <w:noWrap/>
            <w:hideMark/>
          </w:tcPr>
          <w:p w14:paraId="4E5E02F6"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single" w:sz="4" w:space="0" w:color="auto"/>
              <w:left w:val="nil"/>
              <w:bottom w:val="single" w:sz="4" w:space="0" w:color="auto"/>
              <w:right w:val="single" w:sz="4" w:space="0" w:color="auto"/>
            </w:tcBorders>
            <w:shd w:val="clear" w:color="auto" w:fill="auto"/>
            <w:noWrap/>
            <w:hideMark/>
          </w:tcPr>
          <w:p w14:paraId="07A47D0C"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49DEFA4A"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4C85EB36"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959" w:type="dxa"/>
            <w:tcBorders>
              <w:top w:val="nil"/>
              <w:left w:val="nil"/>
              <w:bottom w:val="single" w:sz="4" w:space="0" w:color="auto"/>
              <w:right w:val="single" w:sz="4" w:space="0" w:color="auto"/>
            </w:tcBorders>
            <w:shd w:val="clear" w:color="auto" w:fill="auto"/>
            <w:noWrap/>
            <w:hideMark/>
          </w:tcPr>
          <w:p w14:paraId="489D59AC"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5785FA4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405046AB"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0A34BED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959" w:type="dxa"/>
            <w:tcBorders>
              <w:top w:val="nil"/>
              <w:left w:val="nil"/>
              <w:bottom w:val="single" w:sz="4" w:space="0" w:color="auto"/>
              <w:right w:val="single" w:sz="4" w:space="0" w:color="auto"/>
            </w:tcBorders>
            <w:shd w:val="clear" w:color="auto" w:fill="auto"/>
            <w:noWrap/>
            <w:hideMark/>
          </w:tcPr>
          <w:p w14:paraId="24898B9B"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4BBD82D0"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36AC1D95"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62B3F78B"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959" w:type="dxa"/>
            <w:tcBorders>
              <w:top w:val="nil"/>
              <w:left w:val="nil"/>
              <w:bottom w:val="single" w:sz="4" w:space="0" w:color="auto"/>
              <w:right w:val="single" w:sz="4" w:space="0" w:color="auto"/>
            </w:tcBorders>
            <w:shd w:val="clear" w:color="auto" w:fill="auto"/>
            <w:noWrap/>
            <w:hideMark/>
          </w:tcPr>
          <w:p w14:paraId="2D2C7F24"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1F165448"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55039E97"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03F7A54A"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959" w:type="dxa"/>
            <w:tcBorders>
              <w:top w:val="nil"/>
              <w:left w:val="nil"/>
              <w:bottom w:val="single" w:sz="4" w:space="0" w:color="auto"/>
              <w:right w:val="single" w:sz="4" w:space="0" w:color="auto"/>
            </w:tcBorders>
            <w:shd w:val="clear" w:color="auto" w:fill="auto"/>
            <w:noWrap/>
            <w:hideMark/>
          </w:tcPr>
          <w:p w14:paraId="4E8CB849"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0786AF66"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20454DE6"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06E7EC16" w14:textId="77777777" w:rsidR="006C148C" w:rsidRPr="007D167D" w:rsidRDefault="006C148C"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Sub-Total</w:t>
            </w:r>
          </w:p>
        </w:tc>
        <w:tc>
          <w:tcPr>
            <w:tcW w:w="959" w:type="dxa"/>
            <w:tcBorders>
              <w:top w:val="nil"/>
              <w:left w:val="nil"/>
              <w:bottom w:val="single" w:sz="4" w:space="0" w:color="auto"/>
              <w:right w:val="single" w:sz="4" w:space="0" w:color="auto"/>
            </w:tcBorders>
            <w:shd w:val="clear" w:color="auto" w:fill="auto"/>
            <w:noWrap/>
            <w:hideMark/>
          </w:tcPr>
          <w:p w14:paraId="0A58CAAF"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0B64420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659B3664" w14:textId="77777777" w:rsidTr="00AE10DA">
        <w:trPr>
          <w:trHeight w:val="247"/>
        </w:trPr>
        <w:tc>
          <w:tcPr>
            <w:tcW w:w="5382" w:type="dxa"/>
            <w:tcBorders>
              <w:top w:val="nil"/>
              <w:left w:val="nil"/>
              <w:bottom w:val="nil"/>
              <w:right w:val="nil"/>
            </w:tcBorders>
            <w:shd w:val="clear" w:color="auto" w:fill="auto"/>
            <w:noWrap/>
            <w:hideMark/>
          </w:tcPr>
          <w:p w14:paraId="1DCA3E1C" w14:textId="77777777" w:rsidR="006C148C" w:rsidRPr="007D167D" w:rsidRDefault="006C148C" w:rsidP="001720DB">
            <w:pPr>
              <w:spacing w:after="0" w:line="240" w:lineRule="auto"/>
              <w:rPr>
                <w:rFonts w:ascii="Arial" w:eastAsia="Times New Roman" w:hAnsi="Arial" w:cs="Arial"/>
                <w:color w:val="000000"/>
                <w:lang w:eastAsia="es-MX"/>
              </w:rPr>
            </w:pPr>
          </w:p>
        </w:tc>
        <w:tc>
          <w:tcPr>
            <w:tcW w:w="959" w:type="dxa"/>
            <w:tcBorders>
              <w:top w:val="nil"/>
              <w:left w:val="nil"/>
              <w:bottom w:val="nil"/>
              <w:right w:val="nil"/>
            </w:tcBorders>
            <w:shd w:val="clear" w:color="auto" w:fill="auto"/>
            <w:noWrap/>
            <w:hideMark/>
          </w:tcPr>
          <w:p w14:paraId="72BD6B92" w14:textId="77777777" w:rsidR="006C148C" w:rsidRPr="007D167D" w:rsidRDefault="006C148C" w:rsidP="001720DB">
            <w:pPr>
              <w:spacing w:after="0" w:line="240" w:lineRule="auto"/>
              <w:rPr>
                <w:rFonts w:ascii="Times New Roman" w:eastAsia="Times New Roman" w:hAnsi="Times New Roman" w:cs="Times New Roman"/>
                <w:lang w:eastAsia="es-MX"/>
              </w:rPr>
            </w:pPr>
          </w:p>
        </w:tc>
        <w:tc>
          <w:tcPr>
            <w:tcW w:w="2243" w:type="dxa"/>
            <w:tcBorders>
              <w:top w:val="nil"/>
              <w:left w:val="nil"/>
              <w:bottom w:val="nil"/>
              <w:right w:val="nil"/>
            </w:tcBorders>
            <w:shd w:val="clear" w:color="auto" w:fill="auto"/>
            <w:noWrap/>
            <w:hideMark/>
          </w:tcPr>
          <w:p w14:paraId="67D4B11B" w14:textId="77777777" w:rsidR="006C148C" w:rsidRPr="007D167D" w:rsidRDefault="006C148C" w:rsidP="001720DB">
            <w:pPr>
              <w:spacing w:after="0" w:line="240" w:lineRule="auto"/>
              <w:rPr>
                <w:rFonts w:ascii="Times New Roman" w:eastAsia="Times New Roman" w:hAnsi="Times New Roman" w:cs="Times New Roman"/>
                <w:lang w:eastAsia="es-MX"/>
              </w:rPr>
            </w:pPr>
          </w:p>
        </w:tc>
      </w:tr>
      <w:tr w:rsidR="006C148C" w:rsidRPr="007D167D" w14:paraId="089382AD" w14:textId="77777777" w:rsidTr="00AE10DA">
        <w:trPr>
          <w:trHeight w:val="247"/>
        </w:trPr>
        <w:tc>
          <w:tcPr>
            <w:tcW w:w="5382" w:type="dxa"/>
            <w:tcBorders>
              <w:top w:val="nil"/>
              <w:left w:val="nil"/>
              <w:bottom w:val="nil"/>
              <w:right w:val="nil"/>
            </w:tcBorders>
            <w:shd w:val="clear" w:color="auto" w:fill="auto"/>
            <w:noWrap/>
            <w:hideMark/>
          </w:tcPr>
          <w:p w14:paraId="0E829583" w14:textId="5E1C8241"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w:t>
            </w:r>
            <w:r w:rsidR="008365E9" w:rsidRPr="007D167D">
              <w:rPr>
                <w:rFonts w:ascii="Arial" w:eastAsia="Times New Roman" w:hAnsi="Arial" w:cs="Arial"/>
                <w:color w:val="000000"/>
                <w:lang w:eastAsia="es-MX"/>
              </w:rPr>
              <w:t>). -</w:t>
            </w:r>
            <w:r w:rsidRPr="007D167D">
              <w:rPr>
                <w:rFonts w:ascii="Arial" w:eastAsia="Times New Roman" w:hAnsi="Arial" w:cs="Arial"/>
                <w:color w:val="000000"/>
                <w:lang w:eastAsia="es-MX"/>
              </w:rPr>
              <w:t xml:space="preserve"> Mayor a 90 días y menor o igual a 180 días</w:t>
            </w:r>
          </w:p>
        </w:tc>
        <w:tc>
          <w:tcPr>
            <w:tcW w:w="959" w:type="dxa"/>
            <w:tcBorders>
              <w:top w:val="nil"/>
              <w:left w:val="nil"/>
              <w:bottom w:val="nil"/>
              <w:right w:val="nil"/>
            </w:tcBorders>
            <w:shd w:val="clear" w:color="auto" w:fill="auto"/>
            <w:noWrap/>
            <w:hideMark/>
          </w:tcPr>
          <w:p w14:paraId="42AE8DBE" w14:textId="77777777" w:rsidR="006C148C" w:rsidRPr="007D167D" w:rsidRDefault="006C148C" w:rsidP="001720DB">
            <w:pPr>
              <w:spacing w:after="0" w:line="240" w:lineRule="auto"/>
              <w:rPr>
                <w:rFonts w:ascii="Arial" w:eastAsia="Times New Roman" w:hAnsi="Arial" w:cs="Arial"/>
                <w:color w:val="000000"/>
                <w:lang w:eastAsia="es-MX"/>
              </w:rPr>
            </w:pPr>
          </w:p>
        </w:tc>
        <w:tc>
          <w:tcPr>
            <w:tcW w:w="2243" w:type="dxa"/>
            <w:tcBorders>
              <w:top w:val="nil"/>
              <w:left w:val="nil"/>
              <w:bottom w:val="nil"/>
              <w:right w:val="nil"/>
            </w:tcBorders>
            <w:shd w:val="clear" w:color="auto" w:fill="auto"/>
            <w:noWrap/>
            <w:hideMark/>
          </w:tcPr>
          <w:p w14:paraId="3D8092FB" w14:textId="77777777" w:rsidR="006C148C" w:rsidRPr="007D167D" w:rsidRDefault="006C148C" w:rsidP="001720DB">
            <w:pPr>
              <w:spacing w:after="0" w:line="240" w:lineRule="auto"/>
              <w:rPr>
                <w:rFonts w:ascii="Times New Roman" w:eastAsia="Times New Roman" w:hAnsi="Times New Roman" w:cs="Times New Roman"/>
                <w:lang w:eastAsia="es-MX"/>
              </w:rPr>
            </w:pPr>
          </w:p>
        </w:tc>
      </w:tr>
      <w:tr w:rsidR="006C148C" w:rsidRPr="007D167D" w14:paraId="3F3C90B7" w14:textId="77777777" w:rsidTr="00AE10DA">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1E08D202"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959" w:type="dxa"/>
            <w:tcBorders>
              <w:top w:val="single" w:sz="4" w:space="0" w:color="auto"/>
              <w:left w:val="nil"/>
              <w:bottom w:val="single" w:sz="4" w:space="0" w:color="auto"/>
              <w:right w:val="single" w:sz="4" w:space="0" w:color="auto"/>
            </w:tcBorders>
            <w:shd w:val="clear" w:color="auto" w:fill="auto"/>
            <w:noWrap/>
            <w:hideMark/>
          </w:tcPr>
          <w:p w14:paraId="536D622E"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single" w:sz="4" w:space="0" w:color="auto"/>
              <w:left w:val="nil"/>
              <w:bottom w:val="single" w:sz="4" w:space="0" w:color="auto"/>
              <w:right w:val="single" w:sz="4" w:space="0" w:color="auto"/>
            </w:tcBorders>
            <w:shd w:val="clear" w:color="auto" w:fill="auto"/>
            <w:noWrap/>
            <w:hideMark/>
          </w:tcPr>
          <w:p w14:paraId="265C552E"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74BDB8BF"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11888F81"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959" w:type="dxa"/>
            <w:tcBorders>
              <w:top w:val="nil"/>
              <w:left w:val="nil"/>
              <w:bottom w:val="single" w:sz="4" w:space="0" w:color="auto"/>
              <w:right w:val="single" w:sz="4" w:space="0" w:color="auto"/>
            </w:tcBorders>
            <w:shd w:val="clear" w:color="auto" w:fill="auto"/>
            <w:noWrap/>
            <w:hideMark/>
          </w:tcPr>
          <w:p w14:paraId="3EF6053B"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7F33793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7E881238"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2D65772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959" w:type="dxa"/>
            <w:tcBorders>
              <w:top w:val="nil"/>
              <w:left w:val="nil"/>
              <w:bottom w:val="single" w:sz="4" w:space="0" w:color="auto"/>
              <w:right w:val="single" w:sz="4" w:space="0" w:color="auto"/>
            </w:tcBorders>
            <w:shd w:val="clear" w:color="auto" w:fill="auto"/>
            <w:noWrap/>
            <w:hideMark/>
          </w:tcPr>
          <w:p w14:paraId="28986E61"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7ACF51F5"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07F40281"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452FF60A"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959" w:type="dxa"/>
            <w:tcBorders>
              <w:top w:val="nil"/>
              <w:left w:val="nil"/>
              <w:bottom w:val="single" w:sz="4" w:space="0" w:color="auto"/>
              <w:right w:val="single" w:sz="4" w:space="0" w:color="auto"/>
            </w:tcBorders>
            <w:shd w:val="clear" w:color="auto" w:fill="auto"/>
            <w:noWrap/>
            <w:hideMark/>
          </w:tcPr>
          <w:p w14:paraId="5BFEB5AC"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558C71BB"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50B03F5B"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3710D419"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959" w:type="dxa"/>
            <w:tcBorders>
              <w:top w:val="nil"/>
              <w:left w:val="nil"/>
              <w:bottom w:val="single" w:sz="4" w:space="0" w:color="auto"/>
              <w:right w:val="single" w:sz="4" w:space="0" w:color="auto"/>
            </w:tcBorders>
            <w:shd w:val="clear" w:color="auto" w:fill="auto"/>
            <w:noWrap/>
            <w:hideMark/>
          </w:tcPr>
          <w:p w14:paraId="1BA596A1"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3A906645"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224C0E52" w14:textId="77777777" w:rsidTr="00AE10DA">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147B5B2E" w14:textId="77777777" w:rsidR="006C148C" w:rsidRPr="007D167D" w:rsidRDefault="006C148C"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Sub-Total</w:t>
            </w:r>
          </w:p>
        </w:tc>
        <w:tc>
          <w:tcPr>
            <w:tcW w:w="959" w:type="dxa"/>
            <w:tcBorders>
              <w:top w:val="nil"/>
              <w:left w:val="nil"/>
              <w:bottom w:val="single" w:sz="4" w:space="0" w:color="auto"/>
              <w:right w:val="single" w:sz="4" w:space="0" w:color="auto"/>
            </w:tcBorders>
            <w:shd w:val="clear" w:color="auto" w:fill="auto"/>
            <w:noWrap/>
            <w:hideMark/>
          </w:tcPr>
          <w:p w14:paraId="5B65B45F"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nil"/>
              <w:left w:val="nil"/>
              <w:bottom w:val="single" w:sz="4" w:space="0" w:color="auto"/>
              <w:right w:val="single" w:sz="4" w:space="0" w:color="auto"/>
            </w:tcBorders>
            <w:shd w:val="clear" w:color="auto" w:fill="auto"/>
            <w:noWrap/>
            <w:hideMark/>
          </w:tcPr>
          <w:p w14:paraId="67C59759"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6ACB771D" w14:textId="77777777" w:rsidTr="00AE10DA">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tcPr>
          <w:p w14:paraId="5ACE2339" w14:textId="77777777" w:rsidR="006C148C" w:rsidRPr="007D167D" w:rsidRDefault="006C148C" w:rsidP="001720DB">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TOTAL</w:t>
            </w:r>
          </w:p>
        </w:tc>
        <w:tc>
          <w:tcPr>
            <w:tcW w:w="959" w:type="dxa"/>
            <w:tcBorders>
              <w:top w:val="single" w:sz="4" w:space="0" w:color="auto"/>
              <w:left w:val="nil"/>
              <w:bottom w:val="single" w:sz="4" w:space="0" w:color="auto"/>
              <w:right w:val="single" w:sz="4" w:space="0" w:color="auto"/>
            </w:tcBorders>
            <w:shd w:val="clear" w:color="auto" w:fill="auto"/>
            <w:noWrap/>
          </w:tcPr>
          <w:p w14:paraId="312A2DD4"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43" w:type="dxa"/>
            <w:tcBorders>
              <w:top w:val="single" w:sz="4" w:space="0" w:color="auto"/>
              <w:left w:val="nil"/>
              <w:bottom w:val="single" w:sz="4" w:space="0" w:color="auto"/>
              <w:right w:val="single" w:sz="4" w:space="0" w:color="auto"/>
            </w:tcBorders>
            <w:shd w:val="clear" w:color="auto" w:fill="auto"/>
            <w:noWrap/>
          </w:tcPr>
          <w:p w14:paraId="3A2CFBFA" w14:textId="77777777" w:rsidR="006C148C" w:rsidRPr="007D167D" w:rsidRDefault="006C148C" w:rsidP="001720DB">
            <w:pPr>
              <w:spacing w:after="0" w:line="240" w:lineRule="auto"/>
              <w:rPr>
                <w:rFonts w:ascii="Arial" w:eastAsia="Times New Roman" w:hAnsi="Arial" w:cs="Arial"/>
                <w:color w:val="000000"/>
                <w:lang w:eastAsia="es-MX"/>
              </w:rPr>
            </w:pPr>
          </w:p>
        </w:tc>
      </w:tr>
    </w:tbl>
    <w:p w14:paraId="678E5339" w14:textId="1CB59C99" w:rsidR="007D167D" w:rsidRDefault="007D167D" w:rsidP="007D167D">
      <w:pPr>
        <w:pStyle w:val="Prrafodelista"/>
        <w:ind w:left="426"/>
        <w:rPr>
          <w:rFonts w:ascii="Arial" w:hAnsi="Arial" w:cs="Arial"/>
          <w:b/>
        </w:rPr>
      </w:pPr>
    </w:p>
    <w:p w14:paraId="7E4550A7" w14:textId="77777777" w:rsidR="007D167D" w:rsidRDefault="007D167D" w:rsidP="007D167D">
      <w:pPr>
        <w:pStyle w:val="Prrafodelista"/>
        <w:ind w:left="426"/>
        <w:rPr>
          <w:rFonts w:ascii="Arial" w:hAnsi="Arial" w:cs="Arial"/>
          <w:b/>
        </w:rPr>
      </w:pPr>
    </w:p>
    <w:p w14:paraId="1DD57521" w14:textId="1DEB50FA" w:rsidR="009B7C4E" w:rsidRPr="007D167D" w:rsidRDefault="007B7886" w:rsidP="00152D3E">
      <w:pPr>
        <w:pStyle w:val="Prrafodelista"/>
        <w:numPr>
          <w:ilvl w:val="0"/>
          <w:numId w:val="2"/>
        </w:numPr>
        <w:ind w:left="426" w:hanging="284"/>
        <w:rPr>
          <w:rFonts w:ascii="Arial" w:hAnsi="Arial" w:cs="Arial"/>
          <w:b/>
        </w:rPr>
      </w:pPr>
      <w:r w:rsidRPr="007D167D">
        <w:rPr>
          <w:rFonts w:ascii="Arial" w:hAnsi="Arial" w:cs="Arial"/>
          <w:b/>
        </w:rPr>
        <w:t>Bienes Disponibles para su Transformación o Consumo (inventarios)</w:t>
      </w:r>
      <w:r w:rsidR="002F60D9" w:rsidRPr="007D167D">
        <w:rPr>
          <w:rFonts w:ascii="Arial" w:hAnsi="Arial" w:cs="Arial"/>
          <w:b/>
        </w:rPr>
        <w:t>.</w:t>
      </w:r>
    </w:p>
    <w:p w14:paraId="20FB3E25" w14:textId="443403EA" w:rsidR="00152D3E" w:rsidRPr="007D167D" w:rsidRDefault="00152D3E" w:rsidP="00152D3E">
      <w:pPr>
        <w:spacing w:after="0" w:line="240" w:lineRule="auto"/>
        <w:rPr>
          <w:rFonts w:ascii="Arial" w:hAnsi="Arial" w:cs="Arial"/>
        </w:rPr>
      </w:pPr>
      <w:r w:rsidRPr="007D167D">
        <w:rPr>
          <w:rFonts w:ascii="Arial" w:hAnsi="Arial" w:cs="Arial"/>
        </w:rPr>
        <w:t>4.- Nada que informar en este punto (Bienes disponible para s</w:t>
      </w:r>
      <w:r w:rsidR="00001E49" w:rsidRPr="007D167D">
        <w:rPr>
          <w:rFonts w:ascii="Arial" w:hAnsi="Arial" w:cs="Arial"/>
        </w:rPr>
        <w:t>u</w:t>
      </w:r>
      <w:r w:rsidRPr="007D167D">
        <w:rPr>
          <w:rFonts w:ascii="Arial" w:hAnsi="Arial" w:cs="Arial"/>
        </w:rPr>
        <w:t xml:space="preserve"> transformación)</w:t>
      </w:r>
      <w:r w:rsidR="007D167D">
        <w:rPr>
          <w:rFonts w:ascii="Arial" w:hAnsi="Arial" w:cs="Arial"/>
        </w:rPr>
        <w:t>.</w:t>
      </w:r>
    </w:p>
    <w:p w14:paraId="618BCC09" w14:textId="77777777" w:rsidR="00A30C90" w:rsidRPr="007D167D" w:rsidRDefault="00A30C90" w:rsidP="00152D3E">
      <w:pPr>
        <w:spacing w:after="0" w:line="240" w:lineRule="auto"/>
        <w:rPr>
          <w:rFonts w:ascii="Arial" w:hAnsi="Arial" w:cs="Arial"/>
        </w:rPr>
      </w:pPr>
    </w:p>
    <w:p w14:paraId="4B1F50C2" w14:textId="496485EF" w:rsidR="00152D3E" w:rsidRPr="007D167D" w:rsidRDefault="00152D3E" w:rsidP="00152D3E">
      <w:pPr>
        <w:spacing w:after="0" w:line="240" w:lineRule="auto"/>
        <w:rPr>
          <w:rFonts w:ascii="Arial" w:hAnsi="Arial" w:cs="Arial"/>
        </w:rPr>
      </w:pPr>
      <w:r w:rsidRPr="007D167D">
        <w:rPr>
          <w:rFonts w:ascii="Arial" w:hAnsi="Arial" w:cs="Arial"/>
        </w:rPr>
        <w:t xml:space="preserve">5.- </w:t>
      </w:r>
      <w:r w:rsidR="00AE10DA" w:rsidRPr="007D167D">
        <w:rPr>
          <w:rFonts w:ascii="Arial" w:hAnsi="Arial" w:cs="Arial"/>
        </w:rPr>
        <w:t>Nada que</w:t>
      </w:r>
      <w:r w:rsidRPr="007D167D">
        <w:rPr>
          <w:rFonts w:ascii="Arial" w:hAnsi="Arial" w:cs="Arial"/>
        </w:rPr>
        <w:t xml:space="preserve"> informar en este punto (costeo y método de valuación)</w:t>
      </w:r>
      <w:r w:rsidR="007D167D">
        <w:rPr>
          <w:rFonts w:ascii="Arial" w:hAnsi="Arial" w:cs="Arial"/>
        </w:rPr>
        <w:t>.</w:t>
      </w:r>
    </w:p>
    <w:p w14:paraId="0B69F401" w14:textId="77777777" w:rsidR="00152D3E" w:rsidRPr="007D167D" w:rsidRDefault="00152D3E" w:rsidP="00152D3E">
      <w:pPr>
        <w:rPr>
          <w:rFonts w:ascii="Arial" w:hAnsi="Arial" w:cs="Arial"/>
          <w:b/>
        </w:rPr>
      </w:pPr>
    </w:p>
    <w:p w14:paraId="7AC26F73" w14:textId="77777777" w:rsidR="001D7666" w:rsidRPr="007D167D" w:rsidRDefault="001D7666" w:rsidP="001D7666">
      <w:pPr>
        <w:jc w:val="both"/>
        <w:rPr>
          <w:rFonts w:ascii="Arial" w:hAnsi="Arial" w:cs="Arial"/>
        </w:rPr>
      </w:pPr>
      <w:r w:rsidRPr="007D167D">
        <w:rPr>
          <w:rFonts w:ascii="Arial" w:hAnsi="Arial" w:cs="Arial"/>
        </w:rPr>
        <w:t>NOTA: Se argumenta que el valor de los Terrenos de $ 1,658.00 es simbólico debido a que son 20 hectáreas de terreno, las cuales desde el año 2000 de la creación de este Instituto Tecnológico Superior de Puerto Peñasco su estatus es de posesión, se acordó mediante convenio la ocupación del terreno rustico con el ejido San Rafael, que hasta la actualidad no se ha dado certeza jurídica, cabe señalar que a la fecha se han realizado los trámites correspondientes ante las instancias  pertinentes, y en la actualidad se encuentra en la agenda del Programa de Regularización de Terrenos en respuesta de la Dirección General de Atención Ciudadana Oficio OEENR No. 0151/03/2017 para llegar al acuerdo con los miembros del Ejido San Rafael y realizar los trámites correspondientes para lograr así la tenencia legal del terreno.</w:t>
      </w:r>
    </w:p>
    <w:p w14:paraId="103A8B9C" w14:textId="77777777" w:rsidR="001D7666" w:rsidRPr="007D167D" w:rsidRDefault="001D7666" w:rsidP="001D7666">
      <w:pPr>
        <w:jc w:val="both"/>
        <w:rPr>
          <w:rFonts w:ascii="Arial" w:hAnsi="Arial" w:cs="Arial"/>
        </w:rPr>
      </w:pPr>
    </w:p>
    <w:p w14:paraId="310AAAD4" w14:textId="77777777" w:rsidR="00152D3E" w:rsidRPr="007D167D" w:rsidRDefault="00152D3E" w:rsidP="00152D3E">
      <w:pPr>
        <w:pStyle w:val="Prrafodelista"/>
        <w:numPr>
          <w:ilvl w:val="0"/>
          <w:numId w:val="2"/>
        </w:numPr>
        <w:ind w:left="426" w:hanging="284"/>
        <w:rPr>
          <w:rFonts w:ascii="Arial" w:hAnsi="Arial" w:cs="Arial"/>
          <w:b/>
        </w:rPr>
      </w:pPr>
      <w:r w:rsidRPr="007D167D">
        <w:rPr>
          <w:rFonts w:ascii="Arial" w:hAnsi="Arial" w:cs="Arial"/>
          <w:b/>
        </w:rPr>
        <w:t>Inversiones Financieras</w:t>
      </w:r>
      <w:r w:rsidR="002F60D9" w:rsidRPr="007D167D">
        <w:rPr>
          <w:rFonts w:ascii="Arial" w:hAnsi="Arial" w:cs="Arial"/>
          <w:b/>
        </w:rPr>
        <w:t>.</w:t>
      </w:r>
    </w:p>
    <w:p w14:paraId="0148419D" w14:textId="77777777" w:rsidR="00495FBC" w:rsidRPr="007D167D" w:rsidRDefault="00152D3E" w:rsidP="007B7886">
      <w:pPr>
        <w:rPr>
          <w:rFonts w:ascii="Arial" w:hAnsi="Arial" w:cs="Arial"/>
        </w:rPr>
      </w:pPr>
      <w:r w:rsidRPr="007D167D">
        <w:rPr>
          <w:rFonts w:ascii="Arial" w:hAnsi="Arial" w:cs="Arial"/>
        </w:rPr>
        <w:t>6.- Nada que informar en este punto (Cuentas de fideicomisos)</w:t>
      </w:r>
      <w:r w:rsidR="00145299" w:rsidRPr="007D167D">
        <w:rPr>
          <w:rFonts w:ascii="Arial" w:hAnsi="Arial" w:cs="Arial"/>
        </w:rPr>
        <w:t>.</w:t>
      </w:r>
    </w:p>
    <w:p w14:paraId="4C09D929" w14:textId="77777777" w:rsidR="00392C82" w:rsidRPr="007D167D" w:rsidRDefault="00392C82" w:rsidP="007B7886">
      <w:pPr>
        <w:rPr>
          <w:rFonts w:ascii="Arial" w:hAnsi="Arial" w:cs="Arial"/>
        </w:rPr>
      </w:pPr>
      <w:r w:rsidRPr="007D167D">
        <w:rPr>
          <w:rFonts w:ascii="Arial" w:hAnsi="Arial" w:cs="Arial"/>
        </w:rPr>
        <w:t xml:space="preserve">7.- </w:t>
      </w:r>
      <w:r w:rsidR="001D7666" w:rsidRPr="007D167D">
        <w:rPr>
          <w:rFonts w:ascii="Arial" w:hAnsi="Arial" w:cs="Arial"/>
        </w:rPr>
        <w:t>Nada que informar en este punto (Inversiones financieras)</w:t>
      </w:r>
      <w:r w:rsidR="00145299" w:rsidRPr="007D167D">
        <w:rPr>
          <w:rFonts w:ascii="Arial" w:hAnsi="Arial" w:cs="Arial"/>
        </w:rPr>
        <w:t>.</w:t>
      </w:r>
    </w:p>
    <w:p w14:paraId="30DCCB6B" w14:textId="77777777" w:rsidR="001D7666" w:rsidRPr="007D167D" w:rsidRDefault="001D7666" w:rsidP="007B7886">
      <w:pPr>
        <w:rPr>
          <w:rFonts w:ascii="Arial" w:hAnsi="Arial" w:cs="Arial"/>
        </w:rPr>
      </w:pPr>
    </w:p>
    <w:p w14:paraId="21749ECA" w14:textId="77777777" w:rsidR="001D7666" w:rsidRPr="007D167D" w:rsidRDefault="001D7666" w:rsidP="001D7666">
      <w:pPr>
        <w:pStyle w:val="Prrafodelista"/>
        <w:numPr>
          <w:ilvl w:val="0"/>
          <w:numId w:val="2"/>
        </w:numPr>
        <w:ind w:left="426" w:hanging="284"/>
        <w:rPr>
          <w:rFonts w:ascii="Arial" w:hAnsi="Arial" w:cs="Arial"/>
          <w:b/>
        </w:rPr>
      </w:pPr>
      <w:r w:rsidRPr="007D167D">
        <w:rPr>
          <w:rFonts w:ascii="Arial" w:hAnsi="Arial" w:cs="Arial"/>
          <w:b/>
        </w:rPr>
        <w:lastRenderedPageBreak/>
        <w:t>Bienes Muebles, Inmuebles e Intangibles</w:t>
      </w:r>
      <w:r w:rsidR="002F60D9" w:rsidRPr="007D167D">
        <w:rPr>
          <w:rFonts w:ascii="Arial" w:hAnsi="Arial" w:cs="Arial"/>
          <w:b/>
        </w:rPr>
        <w:t>.</w:t>
      </w:r>
    </w:p>
    <w:p w14:paraId="11FC79D6" w14:textId="5909E303" w:rsidR="001D7666" w:rsidRDefault="00AE749D" w:rsidP="00AE749D">
      <w:pPr>
        <w:jc w:val="both"/>
        <w:rPr>
          <w:rFonts w:ascii="Arial" w:hAnsi="Arial" w:cs="Arial"/>
          <w:b/>
        </w:rPr>
      </w:pPr>
      <w:r w:rsidRPr="007D167D">
        <w:rPr>
          <w:rFonts w:ascii="Arial" w:hAnsi="Arial" w:cs="Arial"/>
        </w:rPr>
        <w:t>8.-</w:t>
      </w:r>
      <w:r w:rsidR="00145299" w:rsidRPr="007D167D">
        <w:rPr>
          <w:rFonts w:ascii="Arial" w:hAnsi="Arial" w:cs="Arial"/>
        </w:rPr>
        <w:t xml:space="preserve"> </w:t>
      </w:r>
      <w:r w:rsidRPr="007D167D">
        <w:rPr>
          <w:rFonts w:ascii="Arial" w:hAnsi="Arial" w:cs="Arial"/>
        </w:rPr>
        <w:t xml:space="preserve">Se informa de forma agrupada por cuenta, los rubros de bienes Muebles e Inmuebles, </w:t>
      </w:r>
      <w:r w:rsidR="00145299" w:rsidRPr="007D167D">
        <w:rPr>
          <w:rFonts w:ascii="Arial" w:hAnsi="Arial" w:cs="Arial"/>
        </w:rPr>
        <w:t>el monto</w:t>
      </w:r>
      <w:r w:rsidRPr="007D167D">
        <w:rPr>
          <w:rFonts w:ascii="Arial" w:hAnsi="Arial" w:cs="Arial"/>
        </w:rPr>
        <w:t xml:space="preserve"> por depreciación del ejercicio y la acumulada, el método de depreciación, tasa aplicada y los criterios de aplicación de los mismos</w:t>
      </w:r>
      <w:r w:rsidR="00145299" w:rsidRPr="007D167D">
        <w:rPr>
          <w:rFonts w:ascii="Arial" w:hAnsi="Arial" w:cs="Arial"/>
          <w:b/>
        </w:rPr>
        <w:t>.</w:t>
      </w:r>
    </w:p>
    <w:tbl>
      <w:tblPr>
        <w:tblW w:w="9356" w:type="dxa"/>
        <w:tblInd w:w="-5" w:type="dxa"/>
        <w:tblCellMar>
          <w:left w:w="70" w:type="dxa"/>
          <w:right w:w="70" w:type="dxa"/>
        </w:tblCellMar>
        <w:tblLook w:val="04A0" w:firstRow="1" w:lastRow="0" w:firstColumn="1" w:lastColumn="0" w:noHBand="0" w:noVBand="1"/>
      </w:tblPr>
      <w:tblGrid>
        <w:gridCol w:w="6237"/>
        <w:gridCol w:w="1559"/>
        <w:gridCol w:w="1560"/>
      </w:tblGrid>
      <w:tr w:rsidR="00AE749D" w:rsidRPr="007D167D" w14:paraId="15372126" w14:textId="77777777" w:rsidTr="00071C10">
        <w:trPr>
          <w:trHeight w:val="231"/>
        </w:trPr>
        <w:tc>
          <w:tcPr>
            <w:tcW w:w="6237" w:type="dxa"/>
            <w:tcBorders>
              <w:top w:val="single" w:sz="4" w:space="0" w:color="auto"/>
              <w:left w:val="single" w:sz="4" w:space="0" w:color="auto"/>
              <w:bottom w:val="single" w:sz="4" w:space="0" w:color="auto"/>
              <w:right w:val="nil"/>
            </w:tcBorders>
            <w:shd w:val="clear" w:color="000000" w:fill="808080"/>
            <w:noWrap/>
            <w:vAlign w:val="bottom"/>
            <w:hideMark/>
          </w:tcPr>
          <w:p w14:paraId="1DDAC10A" w14:textId="77777777" w:rsidR="00AE749D" w:rsidRPr="007D167D"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559"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C2C5C3F" w14:textId="77777777" w:rsidR="00AE749D" w:rsidRPr="007D167D"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2787" w:rsidRPr="007D167D">
              <w:rPr>
                <w:rFonts w:ascii="Arial" w:eastAsia="Times New Roman" w:hAnsi="Arial" w:cs="Arial"/>
                <w:b/>
                <w:bCs/>
                <w:color w:val="000000"/>
                <w:lang w:eastAsia="es-MX"/>
              </w:rPr>
              <w:t>4</w:t>
            </w:r>
          </w:p>
        </w:tc>
        <w:tc>
          <w:tcPr>
            <w:tcW w:w="1560" w:type="dxa"/>
            <w:tcBorders>
              <w:top w:val="single" w:sz="4" w:space="0" w:color="auto"/>
              <w:left w:val="nil"/>
              <w:bottom w:val="single" w:sz="4" w:space="0" w:color="auto"/>
              <w:right w:val="single" w:sz="4" w:space="0" w:color="auto"/>
            </w:tcBorders>
            <w:shd w:val="clear" w:color="000000" w:fill="808080"/>
            <w:noWrap/>
            <w:vAlign w:val="bottom"/>
            <w:hideMark/>
          </w:tcPr>
          <w:p w14:paraId="7CDBBEE4" w14:textId="77777777" w:rsidR="00AE749D" w:rsidRPr="007D167D"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2787" w:rsidRPr="007D167D">
              <w:rPr>
                <w:rFonts w:ascii="Arial" w:eastAsia="Times New Roman" w:hAnsi="Arial" w:cs="Arial"/>
                <w:b/>
                <w:bCs/>
                <w:color w:val="000000"/>
                <w:lang w:eastAsia="es-MX"/>
              </w:rPr>
              <w:t>3</w:t>
            </w:r>
          </w:p>
        </w:tc>
      </w:tr>
      <w:tr w:rsidR="00622787" w:rsidRPr="007D167D" w14:paraId="123D43F3" w14:textId="77777777" w:rsidTr="00071C10">
        <w:trPr>
          <w:trHeight w:val="22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6D11" w14:textId="77777777" w:rsidR="00622787" w:rsidRPr="00071C10"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TERRENOS.</w:t>
            </w:r>
          </w:p>
        </w:tc>
        <w:tc>
          <w:tcPr>
            <w:tcW w:w="1559" w:type="dxa"/>
            <w:tcBorders>
              <w:top w:val="nil"/>
              <w:left w:val="nil"/>
              <w:bottom w:val="single" w:sz="4" w:space="0" w:color="auto"/>
              <w:right w:val="single" w:sz="4" w:space="0" w:color="auto"/>
            </w:tcBorders>
            <w:shd w:val="clear" w:color="auto" w:fill="auto"/>
            <w:noWrap/>
            <w:vAlign w:val="bottom"/>
            <w:hideMark/>
          </w:tcPr>
          <w:p w14:paraId="28082335"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$1,658.00</w:t>
            </w:r>
          </w:p>
        </w:tc>
        <w:tc>
          <w:tcPr>
            <w:tcW w:w="1560" w:type="dxa"/>
            <w:tcBorders>
              <w:top w:val="nil"/>
              <w:left w:val="nil"/>
              <w:bottom w:val="single" w:sz="4" w:space="0" w:color="auto"/>
              <w:right w:val="single" w:sz="4" w:space="0" w:color="auto"/>
            </w:tcBorders>
            <w:shd w:val="clear" w:color="auto" w:fill="auto"/>
            <w:noWrap/>
            <w:vAlign w:val="bottom"/>
            <w:hideMark/>
          </w:tcPr>
          <w:p w14:paraId="5B3B6FCF"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$1,658.00</w:t>
            </w:r>
          </w:p>
        </w:tc>
      </w:tr>
      <w:tr w:rsidR="00622787" w:rsidRPr="007D167D" w14:paraId="09D5400E" w14:textId="77777777" w:rsidTr="00071C10">
        <w:trPr>
          <w:trHeight w:val="22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7C65" w14:textId="77777777" w:rsidR="00622787" w:rsidRPr="00071C10"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noWrap/>
            <w:vAlign w:val="bottom"/>
            <w:hideMark/>
          </w:tcPr>
          <w:p w14:paraId="51051498"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$29,381,239.27</w:t>
            </w:r>
          </w:p>
        </w:tc>
        <w:tc>
          <w:tcPr>
            <w:tcW w:w="1560" w:type="dxa"/>
            <w:tcBorders>
              <w:top w:val="nil"/>
              <w:left w:val="nil"/>
              <w:bottom w:val="single" w:sz="4" w:space="0" w:color="auto"/>
              <w:right w:val="single" w:sz="4" w:space="0" w:color="auto"/>
            </w:tcBorders>
            <w:shd w:val="clear" w:color="auto" w:fill="auto"/>
            <w:noWrap/>
            <w:vAlign w:val="bottom"/>
            <w:hideMark/>
          </w:tcPr>
          <w:p w14:paraId="4AF3E642"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$29,381,239.27</w:t>
            </w:r>
          </w:p>
        </w:tc>
      </w:tr>
      <w:tr w:rsidR="00622787" w:rsidRPr="007D167D" w14:paraId="62F43665" w14:textId="77777777" w:rsidTr="00071C10">
        <w:trPr>
          <w:trHeight w:val="22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16E7" w14:textId="77777777" w:rsidR="00622787" w:rsidRPr="00071C10"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CONSTRUCCIONES EN PROCESO EN BIENES DE DOMINIO PÚBLICO.</w:t>
            </w:r>
          </w:p>
        </w:tc>
        <w:tc>
          <w:tcPr>
            <w:tcW w:w="1559" w:type="dxa"/>
            <w:tcBorders>
              <w:top w:val="nil"/>
              <w:left w:val="nil"/>
              <w:bottom w:val="single" w:sz="4" w:space="0" w:color="auto"/>
              <w:right w:val="single" w:sz="4" w:space="0" w:color="auto"/>
            </w:tcBorders>
            <w:shd w:val="clear" w:color="auto" w:fill="auto"/>
            <w:noWrap/>
            <w:vAlign w:val="bottom"/>
            <w:hideMark/>
          </w:tcPr>
          <w:p w14:paraId="0C067024"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$ 0.00</w:t>
            </w:r>
          </w:p>
        </w:tc>
        <w:tc>
          <w:tcPr>
            <w:tcW w:w="1560" w:type="dxa"/>
            <w:tcBorders>
              <w:top w:val="nil"/>
              <w:left w:val="nil"/>
              <w:bottom w:val="single" w:sz="4" w:space="0" w:color="auto"/>
              <w:right w:val="single" w:sz="4" w:space="0" w:color="auto"/>
            </w:tcBorders>
            <w:shd w:val="clear" w:color="auto" w:fill="auto"/>
            <w:noWrap/>
            <w:vAlign w:val="bottom"/>
            <w:hideMark/>
          </w:tcPr>
          <w:p w14:paraId="6E08CED8"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$ 0.00</w:t>
            </w:r>
          </w:p>
        </w:tc>
      </w:tr>
      <w:tr w:rsidR="00622787" w:rsidRPr="007D167D" w14:paraId="55707D03" w14:textId="77777777" w:rsidTr="00071C10">
        <w:trPr>
          <w:trHeight w:val="22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9955" w14:textId="77777777" w:rsidR="00622787" w:rsidRPr="00071C10"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noWrap/>
            <w:vAlign w:val="bottom"/>
            <w:hideMark/>
          </w:tcPr>
          <w:p w14:paraId="63222725" w14:textId="5300B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$10,</w:t>
            </w:r>
            <w:r w:rsidR="00D20B71" w:rsidRPr="00071C10">
              <w:rPr>
                <w:rFonts w:ascii="Arial" w:eastAsia="Times New Roman" w:hAnsi="Arial" w:cs="Arial"/>
                <w:color w:val="000000"/>
                <w:sz w:val="18"/>
                <w:szCs w:val="18"/>
                <w:lang w:eastAsia="es-MX"/>
              </w:rPr>
              <w:t>335,926.00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44AB68" w14:textId="246C1BD6"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$10,211</w:t>
            </w:r>
            <w:r w:rsidR="00B11766" w:rsidRPr="00071C10">
              <w:rPr>
                <w:rFonts w:ascii="Arial" w:eastAsia="Times New Roman" w:hAnsi="Arial" w:cs="Arial"/>
                <w:color w:val="000000"/>
                <w:sz w:val="18"/>
                <w:szCs w:val="18"/>
                <w:lang w:eastAsia="es-MX"/>
              </w:rPr>
              <w:t>,</w:t>
            </w:r>
            <w:r w:rsidRPr="00071C10">
              <w:rPr>
                <w:rFonts w:ascii="Arial" w:eastAsia="Times New Roman" w:hAnsi="Arial" w:cs="Arial"/>
                <w:color w:val="000000"/>
                <w:sz w:val="18"/>
                <w:szCs w:val="18"/>
                <w:lang w:eastAsia="es-MX"/>
              </w:rPr>
              <w:t>487.24</w:t>
            </w:r>
          </w:p>
        </w:tc>
      </w:tr>
      <w:tr w:rsidR="00622787" w:rsidRPr="007D167D" w14:paraId="205503CB" w14:textId="77777777" w:rsidTr="00071C10">
        <w:trPr>
          <w:trHeight w:val="22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B9D3" w14:textId="6D4DC8FF" w:rsidR="00622787" w:rsidRPr="00071C10"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DEPRECIACIÓN, DETERIORO Y AMORTIZACIÓN ACUMULADA</w:t>
            </w:r>
            <w:r w:rsidR="00071C10" w:rsidRPr="00071C10">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14:paraId="4D7DB668" w14:textId="5042E996"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 -</w:t>
            </w:r>
            <w:r w:rsidR="00D20B71" w:rsidRPr="00071C10">
              <w:rPr>
                <w:rFonts w:ascii="Arial" w:eastAsia="Times New Roman" w:hAnsi="Arial" w:cs="Arial"/>
                <w:color w:val="000000"/>
                <w:sz w:val="18"/>
                <w:szCs w:val="18"/>
                <w:lang w:eastAsia="es-MX"/>
              </w:rPr>
              <w:t>34,175,163.78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CB9D0E"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 -33,023,972.38</w:t>
            </w:r>
          </w:p>
        </w:tc>
      </w:tr>
      <w:tr w:rsidR="00622787" w:rsidRPr="007D167D" w14:paraId="1B306BAD" w14:textId="77777777" w:rsidTr="00071C10">
        <w:trPr>
          <w:trHeight w:val="22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5730" w14:textId="77777777" w:rsidR="00622787" w:rsidRPr="00071C10"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LICENCIAS.</w:t>
            </w:r>
          </w:p>
        </w:tc>
        <w:tc>
          <w:tcPr>
            <w:tcW w:w="1559" w:type="dxa"/>
            <w:tcBorders>
              <w:top w:val="nil"/>
              <w:left w:val="nil"/>
              <w:bottom w:val="single" w:sz="4" w:space="0" w:color="auto"/>
              <w:right w:val="single" w:sz="4" w:space="0" w:color="auto"/>
            </w:tcBorders>
            <w:shd w:val="clear" w:color="auto" w:fill="auto"/>
            <w:noWrap/>
            <w:vAlign w:val="bottom"/>
            <w:hideMark/>
          </w:tcPr>
          <w:p w14:paraId="4840C17A"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$ 0.00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4B34AB"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071C10">
              <w:rPr>
                <w:rFonts w:ascii="Arial" w:eastAsia="Times New Roman" w:hAnsi="Arial" w:cs="Arial"/>
                <w:color w:val="000000"/>
                <w:sz w:val="18"/>
                <w:szCs w:val="18"/>
                <w:lang w:eastAsia="es-MX"/>
              </w:rPr>
              <w:t>$ 0.00</w:t>
            </w:r>
          </w:p>
        </w:tc>
      </w:tr>
      <w:tr w:rsidR="00622787" w:rsidRPr="007D167D" w14:paraId="55F19377" w14:textId="77777777" w:rsidTr="00071C10">
        <w:trPr>
          <w:trHeight w:val="231"/>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8086" w14:textId="77777777" w:rsidR="00622787" w:rsidRPr="00AE10DA" w:rsidRDefault="00622787" w:rsidP="00622787">
            <w:pPr>
              <w:tabs>
                <w:tab w:val="right" w:pos="9990"/>
                <w:tab w:val="right" w:pos="10557"/>
              </w:tabs>
              <w:spacing w:after="0" w:line="240" w:lineRule="auto"/>
              <w:jc w:val="center"/>
              <w:rPr>
                <w:rFonts w:ascii="Arial" w:eastAsia="Times New Roman" w:hAnsi="Arial" w:cs="Arial"/>
                <w:b/>
                <w:bCs/>
                <w:color w:val="000000"/>
                <w:sz w:val="20"/>
                <w:szCs w:val="20"/>
                <w:lang w:eastAsia="es-MX"/>
              </w:rPr>
            </w:pPr>
            <w:r w:rsidRPr="00AE10DA">
              <w:rPr>
                <w:rFonts w:ascii="Arial" w:eastAsia="Times New Roman" w:hAnsi="Arial" w:cs="Arial"/>
                <w:b/>
                <w:bCs/>
                <w:color w:val="000000"/>
                <w:sz w:val="20"/>
                <w:szCs w:val="20"/>
                <w:lang w:eastAsia="es-MX"/>
              </w:rPr>
              <w:t>Subtotal BIENES INMUEBLES</w:t>
            </w:r>
          </w:p>
        </w:tc>
        <w:tc>
          <w:tcPr>
            <w:tcW w:w="1559" w:type="dxa"/>
            <w:tcBorders>
              <w:top w:val="nil"/>
              <w:left w:val="nil"/>
              <w:bottom w:val="single" w:sz="4" w:space="0" w:color="auto"/>
              <w:right w:val="single" w:sz="4" w:space="0" w:color="auto"/>
            </w:tcBorders>
            <w:shd w:val="clear" w:color="auto" w:fill="auto"/>
            <w:noWrap/>
            <w:vAlign w:val="bottom"/>
            <w:hideMark/>
          </w:tcPr>
          <w:p w14:paraId="211262C2" w14:textId="0940623E" w:rsidR="00622787" w:rsidRPr="00071C10" w:rsidRDefault="00622787" w:rsidP="00622787">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071C10">
              <w:rPr>
                <w:rFonts w:ascii="Arial" w:eastAsia="Times New Roman" w:hAnsi="Arial" w:cs="Arial"/>
                <w:b/>
                <w:bCs/>
                <w:color w:val="000000"/>
                <w:sz w:val="18"/>
                <w:szCs w:val="18"/>
                <w:lang w:eastAsia="es-MX"/>
              </w:rPr>
              <w:t xml:space="preserve"> $ </w:t>
            </w:r>
            <w:r w:rsidR="00D20B71" w:rsidRPr="00071C10">
              <w:rPr>
                <w:rFonts w:ascii="Arial" w:eastAsia="Times New Roman" w:hAnsi="Arial" w:cs="Arial"/>
                <w:b/>
                <w:bCs/>
                <w:color w:val="000000"/>
                <w:sz w:val="18"/>
                <w:szCs w:val="18"/>
                <w:lang w:eastAsia="es-MX"/>
              </w:rPr>
              <w:t>5,543,659.49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636A4B" w14:textId="77777777" w:rsidR="00622787" w:rsidRPr="00071C10" w:rsidRDefault="00622787" w:rsidP="00622787">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071C10">
              <w:rPr>
                <w:rFonts w:ascii="Arial" w:eastAsia="Times New Roman" w:hAnsi="Arial" w:cs="Arial"/>
                <w:b/>
                <w:bCs/>
                <w:color w:val="000000"/>
                <w:sz w:val="18"/>
                <w:szCs w:val="18"/>
                <w:lang w:eastAsia="es-MX"/>
              </w:rPr>
              <w:t xml:space="preserve"> $ 6,570,412.13</w:t>
            </w:r>
          </w:p>
        </w:tc>
      </w:tr>
    </w:tbl>
    <w:p w14:paraId="6EEA2A18" w14:textId="77777777" w:rsidR="00AE10DA" w:rsidRDefault="00AE10DA" w:rsidP="00E7487A">
      <w:pPr>
        <w:jc w:val="center"/>
        <w:rPr>
          <w:rFonts w:ascii="Arial" w:hAnsi="Arial" w:cs="Arial"/>
        </w:rPr>
      </w:pPr>
    </w:p>
    <w:p w14:paraId="0553F75A" w14:textId="1586C96D" w:rsidR="009A0439" w:rsidRPr="007D167D" w:rsidRDefault="009A0439" w:rsidP="00E7487A">
      <w:pPr>
        <w:jc w:val="center"/>
        <w:rPr>
          <w:rFonts w:ascii="Arial" w:hAnsi="Arial" w:cs="Arial"/>
        </w:rPr>
      </w:pPr>
      <w:r w:rsidRPr="007D167D">
        <w:rPr>
          <w:rFonts w:ascii="Arial" w:hAnsi="Arial" w:cs="Arial"/>
          <w:noProof/>
          <w:color w:val="000000"/>
          <w:lang w:eastAsia="es-MX"/>
        </w:rPr>
        <w:drawing>
          <wp:inline distT="0" distB="0" distL="0" distR="0" wp14:anchorId="4C3A047A" wp14:editId="33FE9108">
            <wp:extent cx="4019550" cy="5172075"/>
            <wp:effectExtent l="0" t="0" r="0" b="9525"/>
            <wp:docPr id="2" name="Imagen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4114182" cy="5293841"/>
                    </a:xfrm>
                    <a:prstGeom prst="rect">
                      <a:avLst/>
                    </a:prstGeom>
                    <a:noFill/>
                  </pic:spPr>
                </pic:pic>
              </a:graphicData>
            </a:graphic>
          </wp:inline>
        </w:drawing>
      </w:r>
    </w:p>
    <w:p w14:paraId="47713C64" w14:textId="5A69DD1C" w:rsidR="00FA6C7E" w:rsidRDefault="00AE749D" w:rsidP="00AE749D">
      <w:pPr>
        <w:rPr>
          <w:rFonts w:ascii="Arial" w:hAnsi="Arial" w:cs="Arial"/>
        </w:rPr>
      </w:pPr>
      <w:r w:rsidRPr="007D167D">
        <w:rPr>
          <w:rFonts w:ascii="Arial" w:hAnsi="Arial" w:cs="Arial"/>
        </w:rPr>
        <w:t>9.- Nada que informar en este punto (Bienes Intangibles y diferidos)</w:t>
      </w:r>
      <w:r w:rsidR="005F16CF">
        <w:rPr>
          <w:rFonts w:ascii="Arial" w:hAnsi="Arial" w:cs="Arial"/>
        </w:rPr>
        <w:t>.</w:t>
      </w:r>
    </w:p>
    <w:p w14:paraId="5E269B46" w14:textId="77777777" w:rsidR="00FA6C7E" w:rsidRPr="007D167D" w:rsidRDefault="00FA6C7E" w:rsidP="00FA6C7E">
      <w:pPr>
        <w:pStyle w:val="Prrafodelista"/>
        <w:numPr>
          <w:ilvl w:val="0"/>
          <w:numId w:val="2"/>
        </w:numPr>
        <w:ind w:left="426" w:hanging="284"/>
        <w:rPr>
          <w:rFonts w:ascii="Arial" w:hAnsi="Arial" w:cs="Arial"/>
          <w:b/>
        </w:rPr>
      </w:pPr>
      <w:r w:rsidRPr="007D167D">
        <w:rPr>
          <w:rFonts w:ascii="Arial" w:hAnsi="Arial" w:cs="Arial"/>
          <w:b/>
        </w:rPr>
        <w:lastRenderedPageBreak/>
        <w:t>Estimaciones y Deterioros</w:t>
      </w:r>
    </w:p>
    <w:p w14:paraId="0A1FA932" w14:textId="77777777" w:rsidR="00E55FAC" w:rsidRPr="007D167D" w:rsidRDefault="00E55FAC" w:rsidP="00E55FAC">
      <w:pPr>
        <w:rPr>
          <w:rFonts w:ascii="Arial" w:hAnsi="Arial" w:cs="Arial"/>
        </w:rPr>
      </w:pPr>
      <w:r w:rsidRPr="007D167D">
        <w:rPr>
          <w:rFonts w:ascii="Arial" w:hAnsi="Arial" w:cs="Arial"/>
        </w:rPr>
        <w:t>10.- Nada que informar en este punto (Determinac</w:t>
      </w:r>
      <w:r w:rsidR="00FA6C7E" w:rsidRPr="007D167D">
        <w:rPr>
          <w:rFonts w:ascii="Arial" w:hAnsi="Arial" w:cs="Arial"/>
        </w:rPr>
        <w:t xml:space="preserve">ión de </w:t>
      </w:r>
      <w:r w:rsidRPr="007D167D">
        <w:rPr>
          <w:rFonts w:ascii="Arial" w:hAnsi="Arial" w:cs="Arial"/>
        </w:rPr>
        <w:t>Estimaciones)</w:t>
      </w:r>
    </w:p>
    <w:p w14:paraId="7BAA91B1" w14:textId="77777777" w:rsidR="00AE749D" w:rsidRPr="007D167D" w:rsidRDefault="00AE749D" w:rsidP="007B7886">
      <w:pPr>
        <w:rPr>
          <w:rFonts w:ascii="Arial" w:hAnsi="Arial" w:cs="Arial"/>
        </w:rPr>
      </w:pPr>
    </w:p>
    <w:p w14:paraId="59A42BC9" w14:textId="77777777" w:rsidR="00FA6C7E" w:rsidRPr="007D167D" w:rsidRDefault="00FA6C7E" w:rsidP="007B7886">
      <w:pPr>
        <w:pStyle w:val="Prrafodelista"/>
        <w:numPr>
          <w:ilvl w:val="0"/>
          <w:numId w:val="2"/>
        </w:numPr>
        <w:ind w:left="426" w:hanging="284"/>
        <w:rPr>
          <w:rFonts w:ascii="Arial" w:hAnsi="Arial" w:cs="Arial"/>
          <w:b/>
        </w:rPr>
      </w:pPr>
      <w:r w:rsidRPr="007D167D">
        <w:rPr>
          <w:rFonts w:ascii="Arial" w:hAnsi="Arial" w:cs="Arial"/>
          <w:b/>
        </w:rPr>
        <w:t>Otros Activos</w:t>
      </w:r>
    </w:p>
    <w:p w14:paraId="0A309ADC" w14:textId="3776FE08" w:rsidR="00E55FAC" w:rsidRPr="007D167D" w:rsidRDefault="00FA6C7E" w:rsidP="00FA6C7E">
      <w:pPr>
        <w:jc w:val="both"/>
        <w:rPr>
          <w:rFonts w:ascii="Arial" w:hAnsi="Arial" w:cs="Arial"/>
        </w:rPr>
      </w:pPr>
      <w:r w:rsidRPr="007D167D">
        <w:rPr>
          <w:rFonts w:ascii="Arial" w:hAnsi="Arial" w:cs="Arial"/>
        </w:rPr>
        <w:t xml:space="preserve">11.- De las cuentas de </w:t>
      </w:r>
      <w:r w:rsidR="00116D23" w:rsidRPr="007D167D">
        <w:rPr>
          <w:rFonts w:ascii="Arial" w:hAnsi="Arial" w:cs="Arial"/>
        </w:rPr>
        <w:t>otros activos</w:t>
      </w:r>
      <w:r w:rsidRPr="007D167D">
        <w:rPr>
          <w:rFonts w:ascii="Arial" w:hAnsi="Arial" w:cs="Arial"/>
        </w:rPr>
        <w:t xml:space="preserve"> por tipo circulante o no circulante por su vencimiento en días a 90, 180, menor o igual a 365 y mayor a 365. Asimismo, se informará sobre la factibilidad del pago de dichos pasivos.</w:t>
      </w:r>
    </w:p>
    <w:p w14:paraId="296A0E58" w14:textId="77777777" w:rsidR="00071C10" w:rsidRDefault="00071C10" w:rsidP="007B7886">
      <w:pPr>
        <w:rPr>
          <w:rFonts w:ascii="Arial" w:hAnsi="Arial" w:cs="Arial"/>
          <w:b/>
          <w:i/>
        </w:rPr>
      </w:pPr>
    </w:p>
    <w:p w14:paraId="7E049B01" w14:textId="18D7C9EB" w:rsidR="00FA6C7E" w:rsidRPr="007D167D" w:rsidRDefault="00FA6C7E" w:rsidP="007B7886">
      <w:pPr>
        <w:rPr>
          <w:rFonts w:ascii="Arial" w:hAnsi="Arial" w:cs="Arial"/>
          <w:b/>
          <w:i/>
        </w:rPr>
      </w:pPr>
      <w:r w:rsidRPr="007D167D">
        <w:rPr>
          <w:rFonts w:ascii="Arial" w:hAnsi="Arial" w:cs="Arial"/>
          <w:b/>
          <w:i/>
        </w:rPr>
        <w:t>Pasivo</w:t>
      </w:r>
    </w:p>
    <w:tbl>
      <w:tblPr>
        <w:tblW w:w="6748" w:type="dxa"/>
        <w:jc w:val="center"/>
        <w:tblCellMar>
          <w:left w:w="70" w:type="dxa"/>
          <w:right w:w="70" w:type="dxa"/>
        </w:tblCellMar>
        <w:tblLook w:val="04A0" w:firstRow="1" w:lastRow="0" w:firstColumn="1" w:lastColumn="0" w:noHBand="0" w:noVBand="1"/>
      </w:tblPr>
      <w:tblGrid>
        <w:gridCol w:w="3265"/>
        <w:gridCol w:w="1685"/>
        <w:gridCol w:w="1798"/>
      </w:tblGrid>
      <w:tr w:rsidR="00FA6C7E" w:rsidRPr="007D167D" w14:paraId="0182F546" w14:textId="77777777" w:rsidTr="00B11766">
        <w:trPr>
          <w:trHeight w:val="266"/>
          <w:jc w:val="center"/>
        </w:trPr>
        <w:tc>
          <w:tcPr>
            <w:tcW w:w="326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1BB7412" w14:textId="77777777" w:rsidR="00FA6C7E" w:rsidRPr="007D167D" w:rsidRDefault="00FA6C7E" w:rsidP="00FA6C7E">
            <w:pPr>
              <w:tabs>
                <w:tab w:val="right" w:pos="9990"/>
                <w:tab w:val="right" w:pos="10557"/>
              </w:tabs>
              <w:spacing w:after="0" w:line="240" w:lineRule="auto"/>
              <w:ind w:firstLine="62"/>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685" w:type="dxa"/>
            <w:tcBorders>
              <w:top w:val="single" w:sz="4" w:space="0" w:color="auto"/>
              <w:left w:val="nil"/>
              <w:bottom w:val="single" w:sz="4" w:space="0" w:color="auto"/>
              <w:right w:val="single" w:sz="4" w:space="0" w:color="auto"/>
            </w:tcBorders>
            <w:shd w:val="clear" w:color="000000" w:fill="A6A6A6"/>
            <w:noWrap/>
            <w:vAlign w:val="bottom"/>
            <w:hideMark/>
          </w:tcPr>
          <w:p w14:paraId="5F609002" w14:textId="77777777" w:rsidR="00FA6C7E" w:rsidRPr="007D167D" w:rsidRDefault="00FA6C7E" w:rsidP="00FA6C7E">
            <w:pPr>
              <w:tabs>
                <w:tab w:val="right" w:pos="9990"/>
                <w:tab w:val="right" w:pos="10557"/>
              </w:tabs>
              <w:spacing w:after="0" w:line="240" w:lineRule="auto"/>
              <w:ind w:left="36"/>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755A" w:rsidRPr="007D167D">
              <w:rPr>
                <w:rFonts w:ascii="Arial" w:eastAsia="Times New Roman" w:hAnsi="Arial" w:cs="Arial"/>
                <w:b/>
                <w:bCs/>
                <w:color w:val="000000"/>
                <w:lang w:eastAsia="es-MX"/>
              </w:rPr>
              <w:t>4</w:t>
            </w:r>
          </w:p>
        </w:tc>
        <w:tc>
          <w:tcPr>
            <w:tcW w:w="1798" w:type="dxa"/>
            <w:tcBorders>
              <w:top w:val="single" w:sz="4" w:space="0" w:color="auto"/>
              <w:left w:val="nil"/>
              <w:bottom w:val="single" w:sz="4" w:space="0" w:color="auto"/>
              <w:right w:val="single" w:sz="4" w:space="0" w:color="auto"/>
            </w:tcBorders>
            <w:shd w:val="clear" w:color="000000" w:fill="A6A6A6"/>
            <w:noWrap/>
            <w:vAlign w:val="bottom"/>
            <w:hideMark/>
          </w:tcPr>
          <w:p w14:paraId="168182C8" w14:textId="77777777" w:rsidR="00FA6C7E" w:rsidRPr="007D167D" w:rsidRDefault="00FA6C7E" w:rsidP="00FA6C7E">
            <w:pPr>
              <w:tabs>
                <w:tab w:val="right" w:pos="9990"/>
                <w:tab w:val="right" w:pos="10557"/>
              </w:tabs>
              <w:spacing w:after="0" w:line="240" w:lineRule="auto"/>
              <w:ind w:left="29"/>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755A" w:rsidRPr="007D167D">
              <w:rPr>
                <w:rFonts w:ascii="Arial" w:eastAsia="Times New Roman" w:hAnsi="Arial" w:cs="Arial"/>
                <w:b/>
                <w:bCs/>
                <w:color w:val="000000"/>
                <w:lang w:eastAsia="es-MX"/>
              </w:rPr>
              <w:t>3</w:t>
            </w:r>
          </w:p>
        </w:tc>
      </w:tr>
      <w:tr w:rsidR="0062755A" w:rsidRPr="007D167D" w14:paraId="48AD0B24" w14:textId="77777777" w:rsidTr="00B11766">
        <w:trPr>
          <w:trHeight w:val="254"/>
          <w:jc w:val="center"/>
        </w:trPr>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1DE7" w14:textId="77777777" w:rsidR="0062755A" w:rsidRPr="007D167D" w:rsidRDefault="0062755A" w:rsidP="0062755A">
            <w:pPr>
              <w:tabs>
                <w:tab w:val="right" w:pos="9990"/>
                <w:tab w:val="right" w:pos="10557"/>
              </w:tabs>
              <w:spacing w:after="0" w:line="240" w:lineRule="auto"/>
              <w:ind w:firstLine="62"/>
              <w:rPr>
                <w:rFonts w:ascii="Arial" w:eastAsia="Times New Roman" w:hAnsi="Arial" w:cs="Arial"/>
                <w:color w:val="000000"/>
                <w:lang w:eastAsia="es-MX"/>
              </w:rPr>
            </w:pPr>
            <w:r w:rsidRPr="007D167D">
              <w:rPr>
                <w:rFonts w:ascii="Arial" w:eastAsia="Times New Roman" w:hAnsi="Arial" w:cs="Arial"/>
                <w:color w:val="000000"/>
                <w:lang w:eastAsia="es-MX"/>
              </w:rPr>
              <w:t>PASIVO CIRCULANTE</w:t>
            </w:r>
          </w:p>
        </w:tc>
        <w:tc>
          <w:tcPr>
            <w:tcW w:w="1685" w:type="dxa"/>
            <w:tcBorders>
              <w:top w:val="nil"/>
              <w:left w:val="nil"/>
              <w:bottom w:val="single" w:sz="4" w:space="0" w:color="auto"/>
              <w:right w:val="single" w:sz="4" w:space="0" w:color="auto"/>
            </w:tcBorders>
            <w:shd w:val="clear" w:color="auto" w:fill="auto"/>
            <w:noWrap/>
            <w:vAlign w:val="bottom"/>
            <w:hideMark/>
          </w:tcPr>
          <w:p w14:paraId="0A6FE57D" w14:textId="28BC8615"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334CAC">
              <w:rPr>
                <w:rFonts w:ascii="Arial" w:eastAsia="Times New Roman" w:hAnsi="Arial" w:cs="Arial"/>
                <w:color w:val="000000"/>
                <w:lang w:eastAsia="es-MX"/>
              </w:rPr>
              <w:t>6,467,042.21</w:t>
            </w:r>
          </w:p>
        </w:tc>
        <w:tc>
          <w:tcPr>
            <w:tcW w:w="1798" w:type="dxa"/>
            <w:tcBorders>
              <w:top w:val="nil"/>
              <w:left w:val="nil"/>
              <w:bottom w:val="single" w:sz="4" w:space="0" w:color="auto"/>
              <w:right w:val="single" w:sz="4" w:space="0" w:color="auto"/>
            </w:tcBorders>
            <w:shd w:val="clear" w:color="auto" w:fill="auto"/>
            <w:noWrap/>
            <w:vAlign w:val="bottom"/>
            <w:hideMark/>
          </w:tcPr>
          <w:p w14:paraId="01C39EBB"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$ 6,290,457.47</w:t>
            </w:r>
          </w:p>
        </w:tc>
      </w:tr>
      <w:tr w:rsidR="0062755A" w:rsidRPr="007D167D" w14:paraId="1D486899" w14:textId="77777777" w:rsidTr="00B11766">
        <w:trPr>
          <w:trHeight w:val="254"/>
          <w:jc w:val="center"/>
        </w:trPr>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43CD" w14:textId="77777777" w:rsidR="0062755A" w:rsidRPr="007D167D" w:rsidRDefault="0062755A" w:rsidP="0062755A">
            <w:pPr>
              <w:tabs>
                <w:tab w:val="right" w:pos="9990"/>
                <w:tab w:val="right" w:pos="10557"/>
              </w:tabs>
              <w:spacing w:after="0" w:line="240" w:lineRule="auto"/>
              <w:ind w:firstLine="62"/>
              <w:rPr>
                <w:rFonts w:ascii="Arial" w:eastAsia="Times New Roman" w:hAnsi="Arial" w:cs="Arial"/>
                <w:color w:val="000000"/>
                <w:lang w:eastAsia="es-MX"/>
              </w:rPr>
            </w:pPr>
            <w:r w:rsidRPr="007D167D">
              <w:rPr>
                <w:rFonts w:ascii="Arial" w:eastAsia="Times New Roman" w:hAnsi="Arial" w:cs="Arial"/>
                <w:color w:val="000000"/>
                <w:lang w:eastAsia="es-MX"/>
              </w:rPr>
              <w:t>PASIVO NO CIRCULANTE</w:t>
            </w:r>
          </w:p>
        </w:tc>
        <w:tc>
          <w:tcPr>
            <w:tcW w:w="1685" w:type="dxa"/>
            <w:tcBorders>
              <w:top w:val="nil"/>
              <w:left w:val="nil"/>
              <w:bottom w:val="single" w:sz="4" w:space="0" w:color="auto"/>
              <w:right w:val="single" w:sz="4" w:space="0" w:color="auto"/>
            </w:tcBorders>
            <w:shd w:val="clear" w:color="auto" w:fill="auto"/>
            <w:noWrap/>
            <w:vAlign w:val="bottom"/>
            <w:hideMark/>
          </w:tcPr>
          <w:p w14:paraId="2CE2EEDC"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798" w:type="dxa"/>
            <w:tcBorders>
              <w:top w:val="nil"/>
              <w:left w:val="nil"/>
              <w:bottom w:val="single" w:sz="4" w:space="0" w:color="auto"/>
              <w:right w:val="single" w:sz="4" w:space="0" w:color="auto"/>
            </w:tcBorders>
            <w:shd w:val="clear" w:color="auto" w:fill="auto"/>
            <w:noWrap/>
            <w:vAlign w:val="bottom"/>
            <w:hideMark/>
          </w:tcPr>
          <w:p w14:paraId="18F22A2B"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r>
      <w:tr w:rsidR="0062755A" w:rsidRPr="007D167D" w14:paraId="761F3C5B" w14:textId="77777777" w:rsidTr="00B11766">
        <w:trPr>
          <w:trHeight w:val="266"/>
          <w:jc w:val="center"/>
        </w:trPr>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792A" w14:textId="77777777" w:rsidR="0062755A" w:rsidRPr="007D167D" w:rsidRDefault="0062755A" w:rsidP="0062755A">
            <w:pPr>
              <w:tabs>
                <w:tab w:val="right" w:pos="9990"/>
                <w:tab w:val="right" w:pos="10557"/>
              </w:tabs>
              <w:spacing w:after="0" w:line="240" w:lineRule="auto"/>
              <w:ind w:firstLine="62"/>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Suma </w:t>
            </w:r>
          </w:p>
        </w:tc>
        <w:tc>
          <w:tcPr>
            <w:tcW w:w="1685" w:type="dxa"/>
            <w:tcBorders>
              <w:top w:val="nil"/>
              <w:left w:val="nil"/>
              <w:bottom w:val="single" w:sz="4" w:space="0" w:color="auto"/>
              <w:right w:val="single" w:sz="4" w:space="0" w:color="auto"/>
            </w:tcBorders>
            <w:shd w:val="clear" w:color="auto" w:fill="auto"/>
            <w:noWrap/>
            <w:vAlign w:val="bottom"/>
            <w:hideMark/>
          </w:tcPr>
          <w:p w14:paraId="4DF23A51" w14:textId="41BDD9C5" w:rsidR="0062755A" w:rsidRPr="007D167D" w:rsidRDefault="0062755A" w:rsidP="0062755A">
            <w:pPr>
              <w:tabs>
                <w:tab w:val="right" w:pos="9990"/>
                <w:tab w:val="right" w:pos="10557"/>
              </w:tabs>
              <w:spacing w:after="0" w:line="240" w:lineRule="auto"/>
              <w:ind w:left="36"/>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334CAC">
              <w:rPr>
                <w:rFonts w:ascii="Arial" w:eastAsia="Times New Roman" w:hAnsi="Arial" w:cs="Arial"/>
                <w:b/>
                <w:bCs/>
                <w:color w:val="000000"/>
                <w:lang w:eastAsia="es-MX"/>
              </w:rPr>
              <w:t>6,467,042.21</w:t>
            </w:r>
            <w:r w:rsidRPr="007D167D">
              <w:rPr>
                <w:rFonts w:ascii="Arial" w:eastAsia="Times New Roman" w:hAnsi="Arial" w:cs="Arial"/>
                <w:b/>
                <w:bCs/>
                <w:color w:val="000000"/>
                <w:lang w:eastAsia="es-MX"/>
              </w:rPr>
              <w:t xml:space="preserve"> </w:t>
            </w:r>
          </w:p>
        </w:tc>
        <w:tc>
          <w:tcPr>
            <w:tcW w:w="1798" w:type="dxa"/>
            <w:tcBorders>
              <w:top w:val="nil"/>
              <w:left w:val="nil"/>
              <w:bottom w:val="single" w:sz="4" w:space="0" w:color="auto"/>
              <w:right w:val="single" w:sz="4" w:space="0" w:color="auto"/>
            </w:tcBorders>
            <w:shd w:val="clear" w:color="auto" w:fill="auto"/>
            <w:noWrap/>
            <w:vAlign w:val="bottom"/>
            <w:hideMark/>
          </w:tcPr>
          <w:p w14:paraId="60B40B38"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$ 6,290,457.47 </w:t>
            </w:r>
          </w:p>
        </w:tc>
      </w:tr>
    </w:tbl>
    <w:p w14:paraId="275B672C" w14:textId="77777777" w:rsidR="00FA6C7E" w:rsidRPr="007D167D" w:rsidRDefault="00FA6C7E" w:rsidP="007B7886">
      <w:pPr>
        <w:rPr>
          <w:rFonts w:ascii="Arial" w:hAnsi="Arial" w:cs="Arial"/>
        </w:rPr>
      </w:pPr>
    </w:p>
    <w:p w14:paraId="7891BD0D" w14:textId="1830AA2D" w:rsidR="00FA6C7E" w:rsidRPr="007D167D" w:rsidRDefault="00FA6C7E" w:rsidP="00B81C94">
      <w:pPr>
        <w:tabs>
          <w:tab w:val="right" w:pos="9990"/>
          <w:tab w:val="right" w:pos="10557"/>
        </w:tabs>
        <w:spacing w:after="0" w:line="240" w:lineRule="auto"/>
        <w:jc w:val="both"/>
        <w:rPr>
          <w:rFonts w:ascii="Arial" w:eastAsia="Times New Roman" w:hAnsi="Arial" w:cs="Arial"/>
          <w:b/>
          <w:i/>
          <w:color w:val="000000"/>
          <w:lang w:eastAsia="es-MX"/>
        </w:rPr>
      </w:pPr>
      <w:r w:rsidRPr="007D167D">
        <w:rPr>
          <w:rFonts w:ascii="Arial" w:eastAsia="Times New Roman" w:hAnsi="Arial" w:cs="Arial"/>
          <w:b/>
          <w:i/>
          <w:color w:val="000000"/>
          <w:lang w:eastAsia="es-MX"/>
        </w:rPr>
        <w:t>Pasivo Circulante</w:t>
      </w:r>
      <w:r w:rsidR="005C29B3" w:rsidRPr="007D167D">
        <w:rPr>
          <w:rFonts w:ascii="Arial" w:eastAsia="Times New Roman" w:hAnsi="Arial" w:cs="Arial"/>
          <w:b/>
          <w:i/>
          <w:color w:val="000000"/>
          <w:lang w:eastAsia="es-MX"/>
        </w:rPr>
        <w:t xml:space="preserve"> - Cuentas por pagar a corto Plazo</w:t>
      </w:r>
    </w:p>
    <w:p w14:paraId="0A0E9329" w14:textId="77777777" w:rsidR="00975A72" w:rsidRPr="007D167D" w:rsidRDefault="00975A72" w:rsidP="00FA6C7E">
      <w:pPr>
        <w:tabs>
          <w:tab w:val="right" w:pos="9990"/>
          <w:tab w:val="right" w:pos="10557"/>
        </w:tabs>
        <w:spacing w:after="0" w:line="240" w:lineRule="auto"/>
        <w:ind w:left="492" w:firstLine="142"/>
        <w:rPr>
          <w:rFonts w:ascii="Arial" w:eastAsia="Times New Roman" w:hAnsi="Arial" w:cs="Arial"/>
          <w:b/>
          <w:i/>
          <w:color w:val="000000"/>
          <w:lang w:eastAsia="es-MX"/>
        </w:rPr>
      </w:pPr>
    </w:p>
    <w:tbl>
      <w:tblPr>
        <w:tblW w:w="8221" w:type="dxa"/>
        <w:jc w:val="center"/>
        <w:tblCellMar>
          <w:left w:w="70" w:type="dxa"/>
          <w:right w:w="70" w:type="dxa"/>
        </w:tblCellMar>
        <w:tblLook w:val="04A0" w:firstRow="1" w:lastRow="0" w:firstColumn="1" w:lastColumn="0" w:noHBand="0" w:noVBand="1"/>
      </w:tblPr>
      <w:tblGrid>
        <w:gridCol w:w="6536"/>
        <w:gridCol w:w="1685"/>
      </w:tblGrid>
      <w:tr w:rsidR="00FA6C7E" w:rsidRPr="007D167D" w14:paraId="6D4A9B6F" w14:textId="77777777" w:rsidTr="00795F00">
        <w:trPr>
          <w:trHeight w:val="181"/>
          <w:jc w:val="center"/>
        </w:trPr>
        <w:tc>
          <w:tcPr>
            <w:tcW w:w="6536" w:type="dxa"/>
            <w:tcBorders>
              <w:top w:val="single" w:sz="4" w:space="0" w:color="auto"/>
              <w:left w:val="single" w:sz="4" w:space="0" w:color="auto"/>
              <w:bottom w:val="single" w:sz="4" w:space="0" w:color="auto"/>
              <w:right w:val="nil"/>
            </w:tcBorders>
            <w:shd w:val="clear" w:color="000000" w:fill="A6A6A6"/>
            <w:noWrap/>
            <w:vAlign w:val="bottom"/>
            <w:hideMark/>
          </w:tcPr>
          <w:p w14:paraId="6C30540C" w14:textId="77777777" w:rsidR="00FA6C7E" w:rsidRPr="007D167D" w:rsidRDefault="00FA6C7E" w:rsidP="00975A72">
            <w:pPr>
              <w:tabs>
                <w:tab w:val="right" w:pos="9990"/>
                <w:tab w:val="right" w:pos="10557"/>
              </w:tabs>
              <w:spacing w:after="0" w:line="240" w:lineRule="auto"/>
              <w:ind w:left="33"/>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685" w:type="dxa"/>
            <w:tcBorders>
              <w:top w:val="single" w:sz="4" w:space="0" w:color="auto"/>
              <w:left w:val="nil"/>
              <w:bottom w:val="single" w:sz="4" w:space="0" w:color="auto"/>
              <w:right w:val="single" w:sz="4" w:space="0" w:color="auto"/>
            </w:tcBorders>
            <w:shd w:val="clear" w:color="000000" w:fill="A6A6A6"/>
            <w:noWrap/>
            <w:vAlign w:val="bottom"/>
            <w:hideMark/>
          </w:tcPr>
          <w:p w14:paraId="15154D7E" w14:textId="77777777" w:rsidR="00FA6C7E" w:rsidRPr="007D167D" w:rsidRDefault="00FA6C7E" w:rsidP="00FA6C7E">
            <w:pPr>
              <w:tabs>
                <w:tab w:val="right" w:pos="9990"/>
                <w:tab w:val="right" w:pos="10557"/>
              </w:tabs>
              <w:spacing w:after="0" w:line="240" w:lineRule="auto"/>
              <w:ind w:hanging="64"/>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FA6C7E" w:rsidRPr="007D167D" w14:paraId="3B00E647"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9E829"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SERVICIOS PERSONALES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C4A07" w14:textId="2AFFD81F"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6A60AC" w:rsidRPr="007D167D">
              <w:rPr>
                <w:rFonts w:ascii="Arial" w:eastAsia="Times New Roman" w:hAnsi="Arial" w:cs="Arial"/>
                <w:color w:val="000000"/>
                <w:lang w:eastAsia="es-MX"/>
              </w:rPr>
              <w:t xml:space="preserve"> </w:t>
            </w:r>
            <w:r w:rsidR="00E6632F" w:rsidRPr="007D167D">
              <w:rPr>
                <w:rFonts w:ascii="Arial" w:eastAsia="Times New Roman" w:hAnsi="Arial" w:cs="Arial"/>
                <w:color w:val="000000"/>
                <w:lang w:eastAsia="es-MX"/>
              </w:rPr>
              <w:t>4</w:t>
            </w:r>
            <w:r w:rsidR="008D1145">
              <w:rPr>
                <w:rFonts w:ascii="Arial" w:eastAsia="Times New Roman" w:hAnsi="Arial" w:cs="Arial"/>
                <w:color w:val="000000"/>
                <w:lang w:eastAsia="es-MX"/>
              </w:rPr>
              <w:t>6,844.17</w:t>
            </w:r>
          </w:p>
        </w:tc>
      </w:tr>
      <w:tr w:rsidR="00FA6C7E" w:rsidRPr="007D167D" w14:paraId="7E74B66A"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15AD"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PROVEEDORES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4633" w14:textId="731F220F"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E3050D" w:rsidRPr="007D167D">
              <w:rPr>
                <w:rFonts w:ascii="Arial" w:eastAsia="Times New Roman" w:hAnsi="Arial" w:cs="Arial"/>
                <w:color w:val="000000"/>
                <w:lang w:eastAsia="es-MX"/>
              </w:rPr>
              <w:t xml:space="preserve"> </w:t>
            </w:r>
            <w:r w:rsidR="00216ABF">
              <w:rPr>
                <w:rFonts w:ascii="Arial" w:eastAsia="Times New Roman" w:hAnsi="Arial" w:cs="Arial"/>
                <w:color w:val="000000"/>
                <w:lang w:eastAsia="es-MX"/>
              </w:rPr>
              <w:t>-1,063</w:t>
            </w:r>
            <w:r w:rsidR="00E6632F" w:rsidRPr="007D167D">
              <w:rPr>
                <w:rFonts w:ascii="Arial" w:eastAsia="Times New Roman" w:hAnsi="Arial" w:cs="Arial"/>
                <w:color w:val="000000"/>
                <w:lang w:eastAsia="es-MX"/>
              </w:rPr>
              <w:t>.4</w:t>
            </w:r>
            <w:r w:rsidR="00216ABF">
              <w:rPr>
                <w:rFonts w:ascii="Arial" w:eastAsia="Times New Roman" w:hAnsi="Arial" w:cs="Arial"/>
                <w:color w:val="000000"/>
                <w:lang w:eastAsia="es-MX"/>
              </w:rPr>
              <w:t>5</w:t>
            </w:r>
          </w:p>
        </w:tc>
      </w:tr>
      <w:tr w:rsidR="00FA6C7E" w:rsidRPr="007D167D" w14:paraId="19FD7730"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00EF"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RETENCIONES Y CONTRIBUCIONES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BB78C" w14:textId="1B9AAC11"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E3050D" w:rsidRPr="007D167D">
              <w:rPr>
                <w:rFonts w:ascii="Arial" w:eastAsia="Times New Roman" w:hAnsi="Arial" w:cs="Arial"/>
                <w:color w:val="000000"/>
                <w:lang w:eastAsia="es-MX"/>
              </w:rPr>
              <w:t xml:space="preserve"> </w:t>
            </w:r>
            <w:r w:rsidR="00E6632F" w:rsidRPr="007D167D">
              <w:rPr>
                <w:rFonts w:ascii="Arial" w:eastAsia="Times New Roman" w:hAnsi="Arial" w:cs="Arial"/>
                <w:color w:val="000000"/>
                <w:lang w:eastAsia="es-MX"/>
              </w:rPr>
              <w:t>4,</w:t>
            </w:r>
            <w:r w:rsidR="00334CAC">
              <w:rPr>
                <w:rFonts w:ascii="Arial" w:eastAsia="Times New Roman" w:hAnsi="Arial" w:cs="Arial"/>
                <w:color w:val="000000"/>
                <w:lang w:eastAsia="es-MX"/>
              </w:rPr>
              <w:t>519,783.94</w:t>
            </w:r>
          </w:p>
        </w:tc>
      </w:tr>
      <w:tr w:rsidR="00FA6C7E" w:rsidRPr="007D167D" w14:paraId="799290BB"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233B2"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OTRAS CUENTAS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038A" w14:textId="182D4BCC"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E6632F" w:rsidRPr="007D167D">
              <w:rPr>
                <w:rFonts w:ascii="Arial" w:eastAsia="Times New Roman" w:hAnsi="Arial" w:cs="Arial"/>
                <w:color w:val="000000"/>
                <w:lang w:eastAsia="es-MX"/>
              </w:rPr>
              <w:t xml:space="preserve"> </w:t>
            </w:r>
            <w:r w:rsidR="00975A72" w:rsidRPr="007D167D">
              <w:rPr>
                <w:rFonts w:ascii="Arial" w:eastAsia="Times New Roman" w:hAnsi="Arial" w:cs="Arial"/>
                <w:color w:val="000000"/>
                <w:lang w:eastAsia="es-MX"/>
              </w:rPr>
              <w:t>1,</w:t>
            </w:r>
            <w:r w:rsidR="008D1145">
              <w:rPr>
                <w:rFonts w:ascii="Arial" w:eastAsia="Times New Roman" w:hAnsi="Arial" w:cs="Arial"/>
                <w:color w:val="000000"/>
                <w:lang w:eastAsia="es-MX"/>
              </w:rPr>
              <w:t>7</w:t>
            </w:r>
            <w:r w:rsidR="00334CAC">
              <w:rPr>
                <w:rFonts w:ascii="Arial" w:eastAsia="Times New Roman" w:hAnsi="Arial" w:cs="Arial"/>
                <w:color w:val="000000"/>
                <w:lang w:eastAsia="es-MX"/>
              </w:rPr>
              <w:t>53,633.45</w:t>
            </w:r>
          </w:p>
        </w:tc>
      </w:tr>
      <w:tr w:rsidR="00FA6C7E" w:rsidRPr="007D167D" w14:paraId="02D457F1"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60B4" w14:textId="77777777" w:rsidR="00FA6C7E" w:rsidRPr="007D167D" w:rsidRDefault="00A84DE0"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INGRESOS POR CLASIFICAR</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9C27" w14:textId="18EEBBCC"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334CAC">
              <w:rPr>
                <w:rFonts w:ascii="Arial" w:eastAsia="Times New Roman" w:hAnsi="Arial" w:cs="Arial"/>
                <w:color w:val="000000"/>
                <w:lang w:eastAsia="es-MX"/>
              </w:rPr>
              <w:t>147,844.10</w:t>
            </w:r>
          </w:p>
        </w:tc>
      </w:tr>
      <w:tr w:rsidR="00FA6C7E" w:rsidRPr="007D167D" w14:paraId="56455838" w14:textId="77777777" w:rsidTr="00795F00">
        <w:trPr>
          <w:trHeight w:val="181"/>
          <w:jc w:val="center"/>
        </w:trPr>
        <w:tc>
          <w:tcPr>
            <w:tcW w:w="6536" w:type="dxa"/>
            <w:tcBorders>
              <w:top w:val="single" w:sz="4" w:space="0" w:color="auto"/>
              <w:left w:val="single" w:sz="4" w:space="0" w:color="auto"/>
              <w:bottom w:val="single" w:sz="4" w:space="0" w:color="auto"/>
              <w:right w:val="nil"/>
            </w:tcBorders>
            <w:shd w:val="clear" w:color="auto" w:fill="auto"/>
            <w:noWrap/>
            <w:vAlign w:val="bottom"/>
            <w:hideMark/>
          </w:tcPr>
          <w:p w14:paraId="273E6EE0" w14:textId="77777777" w:rsidR="00FA6C7E" w:rsidRPr="007D167D" w:rsidRDefault="00FA6C7E" w:rsidP="00FA6C7E">
            <w:pPr>
              <w:tabs>
                <w:tab w:val="right" w:pos="9990"/>
                <w:tab w:val="right" w:pos="10557"/>
              </w:tabs>
              <w:spacing w:after="0" w:line="240" w:lineRule="auto"/>
              <w:ind w:left="33"/>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Suma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2130554E" w14:textId="64589926" w:rsidR="00FA6C7E" w:rsidRPr="007D167D" w:rsidRDefault="00975A72" w:rsidP="00FA6C7E">
            <w:pPr>
              <w:tabs>
                <w:tab w:val="right" w:pos="9990"/>
                <w:tab w:val="right" w:pos="10557"/>
              </w:tabs>
              <w:spacing w:after="0" w:line="240" w:lineRule="auto"/>
              <w:ind w:hanging="64"/>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w:t>
            </w:r>
            <w:r w:rsidR="005571E6" w:rsidRPr="007D167D">
              <w:rPr>
                <w:rFonts w:ascii="Arial" w:eastAsia="Times New Roman" w:hAnsi="Arial" w:cs="Arial"/>
                <w:b/>
                <w:bCs/>
                <w:color w:val="000000"/>
                <w:lang w:eastAsia="es-MX"/>
              </w:rPr>
              <w:t xml:space="preserve"> </w:t>
            </w:r>
            <w:r w:rsidR="00334CAC">
              <w:rPr>
                <w:rFonts w:ascii="Arial" w:eastAsia="Times New Roman" w:hAnsi="Arial" w:cs="Arial"/>
                <w:b/>
                <w:bCs/>
                <w:color w:val="000000"/>
                <w:lang w:eastAsia="es-MX"/>
              </w:rPr>
              <w:t>6,467,042.21</w:t>
            </w:r>
          </w:p>
        </w:tc>
      </w:tr>
    </w:tbl>
    <w:p w14:paraId="3D562FBD" w14:textId="77777777" w:rsidR="00E55FAC" w:rsidRPr="007D167D" w:rsidRDefault="00E55FAC" w:rsidP="007B7886">
      <w:pPr>
        <w:rPr>
          <w:rFonts w:ascii="Arial" w:hAnsi="Arial" w:cs="Arial"/>
        </w:rPr>
      </w:pPr>
    </w:p>
    <w:tbl>
      <w:tblPr>
        <w:tblW w:w="7328" w:type="dxa"/>
        <w:jc w:val="center"/>
        <w:tblCellMar>
          <w:left w:w="70" w:type="dxa"/>
          <w:right w:w="70" w:type="dxa"/>
        </w:tblCellMar>
        <w:tblLook w:val="04A0" w:firstRow="1" w:lastRow="0" w:firstColumn="1" w:lastColumn="0" w:noHBand="0" w:noVBand="1"/>
      </w:tblPr>
      <w:tblGrid>
        <w:gridCol w:w="1758"/>
        <w:gridCol w:w="1763"/>
        <w:gridCol w:w="1763"/>
        <w:gridCol w:w="2044"/>
      </w:tblGrid>
      <w:tr w:rsidR="001B1B80" w:rsidRPr="00334CAC" w14:paraId="4A91E3CC" w14:textId="77777777" w:rsidTr="001B1B80">
        <w:trPr>
          <w:trHeight w:val="257"/>
          <w:jc w:val="center"/>
        </w:trPr>
        <w:tc>
          <w:tcPr>
            <w:tcW w:w="175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FFBECB" w14:textId="77777777"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 xml:space="preserve">90 </w:t>
            </w:r>
            <w:proofErr w:type="gramStart"/>
            <w:r w:rsidRPr="00334CAC">
              <w:rPr>
                <w:rFonts w:ascii="Arial" w:eastAsia="Times New Roman" w:hAnsi="Arial" w:cs="Arial"/>
                <w:b/>
                <w:bCs/>
                <w:color w:val="000000"/>
                <w:sz w:val="20"/>
                <w:szCs w:val="20"/>
                <w:lang w:eastAsia="es-MX"/>
              </w:rPr>
              <w:t>Días</w:t>
            </w:r>
            <w:proofErr w:type="gramEnd"/>
          </w:p>
        </w:tc>
        <w:tc>
          <w:tcPr>
            <w:tcW w:w="1763" w:type="dxa"/>
            <w:tcBorders>
              <w:top w:val="single" w:sz="4" w:space="0" w:color="auto"/>
              <w:left w:val="nil"/>
              <w:bottom w:val="single" w:sz="4" w:space="0" w:color="auto"/>
              <w:right w:val="single" w:sz="4" w:space="0" w:color="auto"/>
            </w:tcBorders>
            <w:shd w:val="clear" w:color="000000" w:fill="D0CECE"/>
            <w:noWrap/>
            <w:vAlign w:val="bottom"/>
            <w:hideMark/>
          </w:tcPr>
          <w:p w14:paraId="6D472778" w14:textId="77777777"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180 a 365 días</w:t>
            </w:r>
          </w:p>
        </w:tc>
        <w:tc>
          <w:tcPr>
            <w:tcW w:w="1763" w:type="dxa"/>
            <w:tcBorders>
              <w:top w:val="single" w:sz="4" w:space="0" w:color="auto"/>
              <w:left w:val="nil"/>
              <w:bottom w:val="single" w:sz="4" w:space="0" w:color="auto"/>
              <w:right w:val="single" w:sz="4" w:space="0" w:color="auto"/>
            </w:tcBorders>
            <w:shd w:val="clear" w:color="000000" w:fill="D0CECE"/>
            <w:noWrap/>
            <w:vAlign w:val="bottom"/>
            <w:hideMark/>
          </w:tcPr>
          <w:p w14:paraId="5DC2097F" w14:textId="77777777"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Mayor a 365 días</w:t>
            </w:r>
          </w:p>
        </w:tc>
        <w:tc>
          <w:tcPr>
            <w:tcW w:w="2044" w:type="dxa"/>
            <w:tcBorders>
              <w:top w:val="single" w:sz="4" w:space="0" w:color="auto"/>
              <w:left w:val="nil"/>
              <w:bottom w:val="single" w:sz="4" w:space="0" w:color="auto"/>
              <w:right w:val="single" w:sz="4" w:space="0" w:color="auto"/>
            </w:tcBorders>
            <w:shd w:val="clear" w:color="000000" w:fill="D0CECE"/>
            <w:noWrap/>
            <w:vAlign w:val="bottom"/>
            <w:hideMark/>
          </w:tcPr>
          <w:p w14:paraId="77F34458" w14:textId="77777777"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Total</w:t>
            </w:r>
          </w:p>
        </w:tc>
      </w:tr>
      <w:tr w:rsidR="00334CAC" w:rsidRPr="00334CAC" w14:paraId="6F26E1F1" w14:textId="77777777" w:rsidTr="001B1B80">
        <w:trPr>
          <w:trHeight w:val="257"/>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9DCDE74" w14:textId="558844B1"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$ 46,844.17</w:t>
            </w:r>
          </w:p>
        </w:tc>
        <w:tc>
          <w:tcPr>
            <w:tcW w:w="1763" w:type="dxa"/>
            <w:tcBorders>
              <w:top w:val="nil"/>
              <w:left w:val="nil"/>
              <w:bottom w:val="single" w:sz="4" w:space="0" w:color="auto"/>
              <w:right w:val="single" w:sz="4" w:space="0" w:color="auto"/>
            </w:tcBorders>
            <w:shd w:val="clear" w:color="auto" w:fill="auto"/>
            <w:noWrap/>
            <w:vAlign w:val="bottom"/>
            <w:hideMark/>
          </w:tcPr>
          <w:p w14:paraId="094EDDB6" w14:textId="67C01530"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1763" w:type="dxa"/>
            <w:tcBorders>
              <w:top w:val="nil"/>
              <w:left w:val="nil"/>
              <w:bottom w:val="single" w:sz="4" w:space="0" w:color="auto"/>
              <w:right w:val="single" w:sz="4" w:space="0" w:color="auto"/>
            </w:tcBorders>
            <w:shd w:val="clear" w:color="auto" w:fill="auto"/>
            <w:noWrap/>
            <w:vAlign w:val="bottom"/>
            <w:hideMark/>
          </w:tcPr>
          <w:p w14:paraId="319C533A" w14:textId="4EF9C753"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2044" w:type="dxa"/>
            <w:tcBorders>
              <w:top w:val="nil"/>
              <w:left w:val="nil"/>
              <w:bottom w:val="single" w:sz="4" w:space="0" w:color="auto"/>
              <w:right w:val="single" w:sz="4" w:space="0" w:color="auto"/>
            </w:tcBorders>
            <w:shd w:val="clear" w:color="auto" w:fill="auto"/>
            <w:noWrap/>
            <w:vAlign w:val="bottom"/>
            <w:hideMark/>
          </w:tcPr>
          <w:p w14:paraId="5531B62E" w14:textId="19518E27"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$ 46,844.17</w:t>
            </w:r>
          </w:p>
        </w:tc>
      </w:tr>
      <w:tr w:rsidR="00334CAC" w:rsidRPr="00334CAC" w14:paraId="667F2135" w14:textId="77777777" w:rsidTr="001B1B80">
        <w:trPr>
          <w:trHeight w:val="257"/>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1B6D595" w14:textId="68C72A2F"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-$ 1,063.45</w:t>
            </w:r>
          </w:p>
        </w:tc>
        <w:tc>
          <w:tcPr>
            <w:tcW w:w="1763" w:type="dxa"/>
            <w:tcBorders>
              <w:top w:val="nil"/>
              <w:left w:val="nil"/>
              <w:bottom w:val="single" w:sz="4" w:space="0" w:color="auto"/>
              <w:right w:val="single" w:sz="4" w:space="0" w:color="auto"/>
            </w:tcBorders>
            <w:shd w:val="clear" w:color="auto" w:fill="auto"/>
            <w:noWrap/>
            <w:vAlign w:val="bottom"/>
            <w:hideMark/>
          </w:tcPr>
          <w:p w14:paraId="1E2C98DC" w14:textId="3BAA39DF"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1763" w:type="dxa"/>
            <w:tcBorders>
              <w:top w:val="nil"/>
              <w:left w:val="nil"/>
              <w:bottom w:val="single" w:sz="4" w:space="0" w:color="auto"/>
              <w:right w:val="single" w:sz="4" w:space="0" w:color="auto"/>
            </w:tcBorders>
            <w:shd w:val="clear" w:color="auto" w:fill="auto"/>
            <w:noWrap/>
            <w:vAlign w:val="bottom"/>
            <w:hideMark/>
          </w:tcPr>
          <w:p w14:paraId="2FF100B2" w14:textId="0C7AEFF7"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2044" w:type="dxa"/>
            <w:tcBorders>
              <w:top w:val="nil"/>
              <w:left w:val="nil"/>
              <w:bottom w:val="single" w:sz="4" w:space="0" w:color="auto"/>
              <w:right w:val="single" w:sz="4" w:space="0" w:color="auto"/>
            </w:tcBorders>
            <w:shd w:val="clear" w:color="auto" w:fill="auto"/>
            <w:noWrap/>
            <w:vAlign w:val="bottom"/>
            <w:hideMark/>
          </w:tcPr>
          <w:p w14:paraId="4BB47F29" w14:textId="635482F0"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-$ 1,063.45</w:t>
            </w:r>
          </w:p>
        </w:tc>
      </w:tr>
      <w:tr w:rsidR="00334CAC" w:rsidRPr="00334CAC" w14:paraId="4CD34B94" w14:textId="77777777" w:rsidTr="001B1B80">
        <w:trPr>
          <w:trHeight w:val="257"/>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629DBE0" w14:textId="3C301179"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1763" w:type="dxa"/>
            <w:tcBorders>
              <w:top w:val="nil"/>
              <w:left w:val="nil"/>
              <w:bottom w:val="single" w:sz="4" w:space="0" w:color="auto"/>
              <w:right w:val="single" w:sz="4" w:space="0" w:color="auto"/>
            </w:tcBorders>
            <w:shd w:val="clear" w:color="auto" w:fill="auto"/>
            <w:noWrap/>
            <w:vAlign w:val="bottom"/>
            <w:hideMark/>
          </w:tcPr>
          <w:p w14:paraId="7EE4F03F" w14:textId="1B1B1218"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$ 2,415,155.91</w:t>
            </w:r>
          </w:p>
        </w:tc>
        <w:tc>
          <w:tcPr>
            <w:tcW w:w="1763" w:type="dxa"/>
            <w:tcBorders>
              <w:top w:val="nil"/>
              <w:left w:val="nil"/>
              <w:bottom w:val="single" w:sz="4" w:space="0" w:color="auto"/>
              <w:right w:val="single" w:sz="4" w:space="0" w:color="auto"/>
            </w:tcBorders>
            <w:shd w:val="clear" w:color="auto" w:fill="auto"/>
            <w:noWrap/>
            <w:vAlign w:val="bottom"/>
            <w:hideMark/>
          </w:tcPr>
          <w:p w14:paraId="2FE192DB" w14:textId="7891F2F7"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$ 2,104,628.03</w:t>
            </w:r>
          </w:p>
        </w:tc>
        <w:tc>
          <w:tcPr>
            <w:tcW w:w="2044" w:type="dxa"/>
            <w:tcBorders>
              <w:top w:val="nil"/>
              <w:left w:val="nil"/>
              <w:bottom w:val="single" w:sz="4" w:space="0" w:color="auto"/>
              <w:right w:val="single" w:sz="4" w:space="0" w:color="auto"/>
            </w:tcBorders>
            <w:shd w:val="clear" w:color="auto" w:fill="auto"/>
            <w:noWrap/>
            <w:vAlign w:val="bottom"/>
            <w:hideMark/>
          </w:tcPr>
          <w:p w14:paraId="7BCB99AC" w14:textId="5E657A4B"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$ 4,519,783.94</w:t>
            </w:r>
          </w:p>
        </w:tc>
      </w:tr>
      <w:tr w:rsidR="00334CAC" w:rsidRPr="00334CAC" w14:paraId="681DC5EE" w14:textId="77777777" w:rsidTr="001B1B80">
        <w:trPr>
          <w:trHeight w:val="257"/>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1073C6A" w14:textId="19A22CFF"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$ 1,315,225.09</w:t>
            </w:r>
          </w:p>
        </w:tc>
        <w:tc>
          <w:tcPr>
            <w:tcW w:w="1763" w:type="dxa"/>
            <w:tcBorders>
              <w:top w:val="nil"/>
              <w:left w:val="nil"/>
              <w:bottom w:val="single" w:sz="4" w:space="0" w:color="auto"/>
              <w:right w:val="single" w:sz="4" w:space="0" w:color="auto"/>
            </w:tcBorders>
            <w:shd w:val="clear" w:color="auto" w:fill="auto"/>
            <w:noWrap/>
            <w:vAlign w:val="bottom"/>
            <w:hideMark/>
          </w:tcPr>
          <w:p w14:paraId="6DA58B91" w14:textId="7DA4F5D8"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$ 438,408.36</w:t>
            </w:r>
          </w:p>
        </w:tc>
        <w:tc>
          <w:tcPr>
            <w:tcW w:w="1763" w:type="dxa"/>
            <w:tcBorders>
              <w:top w:val="nil"/>
              <w:left w:val="nil"/>
              <w:bottom w:val="single" w:sz="4" w:space="0" w:color="auto"/>
              <w:right w:val="single" w:sz="4" w:space="0" w:color="auto"/>
            </w:tcBorders>
            <w:shd w:val="clear" w:color="auto" w:fill="auto"/>
            <w:noWrap/>
            <w:vAlign w:val="bottom"/>
            <w:hideMark/>
          </w:tcPr>
          <w:p w14:paraId="02E82A72" w14:textId="3C785D0D"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2044" w:type="dxa"/>
            <w:tcBorders>
              <w:top w:val="nil"/>
              <w:left w:val="nil"/>
              <w:bottom w:val="single" w:sz="4" w:space="0" w:color="auto"/>
              <w:right w:val="single" w:sz="4" w:space="0" w:color="auto"/>
            </w:tcBorders>
            <w:shd w:val="clear" w:color="auto" w:fill="auto"/>
            <w:noWrap/>
            <w:vAlign w:val="bottom"/>
            <w:hideMark/>
          </w:tcPr>
          <w:p w14:paraId="1FB11921" w14:textId="58AD2CBF"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$ 1,753,633.45</w:t>
            </w:r>
          </w:p>
        </w:tc>
      </w:tr>
      <w:tr w:rsidR="00334CAC" w:rsidRPr="00334CAC" w14:paraId="41B33C24" w14:textId="77777777" w:rsidTr="001B1B80">
        <w:trPr>
          <w:trHeight w:val="257"/>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93F1C1E" w14:textId="069A8304"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1763" w:type="dxa"/>
            <w:tcBorders>
              <w:top w:val="nil"/>
              <w:left w:val="nil"/>
              <w:bottom w:val="single" w:sz="4" w:space="0" w:color="auto"/>
              <w:right w:val="single" w:sz="4" w:space="0" w:color="auto"/>
            </w:tcBorders>
            <w:shd w:val="clear" w:color="auto" w:fill="auto"/>
            <w:noWrap/>
            <w:vAlign w:val="bottom"/>
            <w:hideMark/>
          </w:tcPr>
          <w:p w14:paraId="652690E0" w14:textId="70A0EBF2" w:rsidR="00334CAC" w:rsidRPr="00334CAC" w:rsidRDefault="00334CAC" w:rsidP="001B1B80">
            <w:pPr>
              <w:spacing w:after="0" w:line="240" w:lineRule="auto"/>
              <w:jc w:val="center"/>
              <w:rPr>
                <w:rFonts w:ascii="Arial" w:eastAsia="Times New Roman" w:hAnsi="Arial" w:cs="Arial"/>
                <w:color w:val="000000"/>
                <w:sz w:val="20"/>
                <w:szCs w:val="20"/>
                <w:lang w:eastAsia="es-MX"/>
              </w:rPr>
            </w:pPr>
          </w:p>
        </w:tc>
        <w:tc>
          <w:tcPr>
            <w:tcW w:w="1763" w:type="dxa"/>
            <w:tcBorders>
              <w:top w:val="nil"/>
              <w:left w:val="nil"/>
              <w:bottom w:val="single" w:sz="4" w:space="0" w:color="auto"/>
              <w:right w:val="single" w:sz="4" w:space="0" w:color="auto"/>
            </w:tcBorders>
            <w:shd w:val="clear" w:color="auto" w:fill="auto"/>
            <w:noWrap/>
            <w:vAlign w:val="bottom"/>
            <w:hideMark/>
          </w:tcPr>
          <w:p w14:paraId="1390C362" w14:textId="6888854B"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$ 147,844.10</w:t>
            </w:r>
          </w:p>
        </w:tc>
        <w:tc>
          <w:tcPr>
            <w:tcW w:w="2044" w:type="dxa"/>
            <w:tcBorders>
              <w:top w:val="nil"/>
              <w:left w:val="nil"/>
              <w:bottom w:val="single" w:sz="4" w:space="0" w:color="auto"/>
              <w:right w:val="single" w:sz="4" w:space="0" w:color="auto"/>
            </w:tcBorders>
            <w:shd w:val="clear" w:color="auto" w:fill="auto"/>
            <w:noWrap/>
            <w:vAlign w:val="bottom"/>
            <w:hideMark/>
          </w:tcPr>
          <w:p w14:paraId="33A4508F" w14:textId="217604D1" w:rsidR="00334CAC" w:rsidRPr="00334CAC" w:rsidRDefault="00334CAC" w:rsidP="001B1B80">
            <w:pPr>
              <w:spacing w:after="0" w:line="240" w:lineRule="auto"/>
              <w:jc w:val="center"/>
              <w:rPr>
                <w:rFonts w:ascii="Arial" w:eastAsia="Times New Roman" w:hAnsi="Arial" w:cs="Arial"/>
                <w:color w:val="000000"/>
                <w:sz w:val="20"/>
                <w:szCs w:val="20"/>
                <w:lang w:eastAsia="es-MX"/>
              </w:rPr>
            </w:pPr>
            <w:r w:rsidRPr="00334CAC">
              <w:rPr>
                <w:rFonts w:ascii="Arial" w:eastAsia="Times New Roman" w:hAnsi="Arial" w:cs="Arial"/>
                <w:color w:val="000000"/>
                <w:sz w:val="20"/>
                <w:szCs w:val="20"/>
                <w:lang w:eastAsia="es-MX"/>
              </w:rPr>
              <w:t>$ 147,844.10</w:t>
            </w:r>
          </w:p>
        </w:tc>
      </w:tr>
      <w:tr w:rsidR="00334CAC" w:rsidRPr="00334CAC" w14:paraId="7EC22288" w14:textId="77777777" w:rsidTr="001B1B80">
        <w:trPr>
          <w:trHeight w:val="257"/>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41701C7" w14:textId="47A39460"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$ 1,361,005.81</w:t>
            </w:r>
          </w:p>
        </w:tc>
        <w:tc>
          <w:tcPr>
            <w:tcW w:w="1763" w:type="dxa"/>
            <w:tcBorders>
              <w:top w:val="nil"/>
              <w:left w:val="nil"/>
              <w:bottom w:val="single" w:sz="4" w:space="0" w:color="auto"/>
              <w:right w:val="single" w:sz="4" w:space="0" w:color="auto"/>
            </w:tcBorders>
            <w:shd w:val="clear" w:color="auto" w:fill="auto"/>
            <w:noWrap/>
            <w:vAlign w:val="bottom"/>
            <w:hideMark/>
          </w:tcPr>
          <w:p w14:paraId="51ABFAD2" w14:textId="69800788"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$ 2,853,564.27</w:t>
            </w:r>
          </w:p>
        </w:tc>
        <w:tc>
          <w:tcPr>
            <w:tcW w:w="1763" w:type="dxa"/>
            <w:tcBorders>
              <w:top w:val="nil"/>
              <w:left w:val="nil"/>
              <w:bottom w:val="single" w:sz="4" w:space="0" w:color="auto"/>
              <w:right w:val="single" w:sz="4" w:space="0" w:color="auto"/>
            </w:tcBorders>
            <w:shd w:val="clear" w:color="auto" w:fill="auto"/>
            <w:noWrap/>
            <w:vAlign w:val="bottom"/>
            <w:hideMark/>
          </w:tcPr>
          <w:p w14:paraId="4DC227B9" w14:textId="6FADD262"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$ 2,252,472.13</w:t>
            </w:r>
          </w:p>
        </w:tc>
        <w:tc>
          <w:tcPr>
            <w:tcW w:w="2044" w:type="dxa"/>
            <w:tcBorders>
              <w:top w:val="nil"/>
              <w:left w:val="nil"/>
              <w:bottom w:val="single" w:sz="4" w:space="0" w:color="auto"/>
              <w:right w:val="single" w:sz="4" w:space="0" w:color="auto"/>
            </w:tcBorders>
            <w:shd w:val="clear" w:color="auto" w:fill="auto"/>
            <w:noWrap/>
            <w:vAlign w:val="bottom"/>
            <w:hideMark/>
          </w:tcPr>
          <w:p w14:paraId="2C7AD174" w14:textId="3D31B9A0" w:rsidR="00334CAC" w:rsidRPr="00334CAC" w:rsidRDefault="00334CAC" w:rsidP="001B1B80">
            <w:pPr>
              <w:spacing w:after="0" w:line="240" w:lineRule="auto"/>
              <w:jc w:val="center"/>
              <w:rPr>
                <w:rFonts w:ascii="Arial" w:eastAsia="Times New Roman" w:hAnsi="Arial" w:cs="Arial"/>
                <w:b/>
                <w:bCs/>
                <w:color w:val="000000"/>
                <w:sz w:val="20"/>
                <w:szCs w:val="20"/>
                <w:lang w:eastAsia="es-MX"/>
              </w:rPr>
            </w:pPr>
            <w:r w:rsidRPr="00334CAC">
              <w:rPr>
                <w:rFonts w:ascii="Arial" w:eastAsia="Times New Roman" w:hAnsi="Arial" w:cs="Arial"/>
                <w:b/>
                <w:bCs/>
                <w:color w:val="000000"/>
                <w:sz w:val="20"/>
                <w:szCs w:val="20"/>
                <w:lang w:eastAsia="es-MX"/>
              </w:rPr>
              <w:t>$ 6,467,042.21</w:t>
            </w:r>
          </w:p>
        </w:tc>
      </w:tr>
    </w:tbl>
    <w:p w14:paraId="7489E6B1" w14:textId="77777777" w:rsidR="00E60718" w:rsidRPr="007D167D" w:rsidRDefault="00E60718" w:rsidP="007961BE">
      <w:pPr>
        <w:jc w:val="center"/>
        <w:rPr>
          <w:rFonts w:ascii="Arial" w:hAnsi="Arial" w:cs="Arial"/>
        </w:rPr>
      </w:pPr>
    </w:p>
    <w:p w14:paraId="69640644" w14:textId="77777777" w:rsidR="005C29B3" w:rsidRPr="007D167D" w:rsidRDefault="005C29B3" w:rsidP="005C29B3">
      <w:pPr>
        <w:jc w:val="both"/>
        <w:rPr>
          <w:rFonts w:ascii="Arial" w:hAnsi="Arial" w:cs="Arial"/>
        </w:rPr>
      </w:pPr>
      <w:r w:rsidRPr="007D167D">
        <w:rPr>
          <w:rFonts w:ascii="Arial" w:hAnsi="Arial" w:cs="Arial"/>
        </w:rPr>
        <w:t>El saldo está representado en su mayoría por las cuotas y retenciones a favor de ISSSTESON, además de saldos pendientes de pago a proveedores por distintas adquisiciones y servicios, retenciones sindicales a favor del SITAITSPP.</w:t>
      </w:r>
    </w:p>
    <w:p w14:paraId="63BF068F" w14:textId="2B07D0DC" w:rsidR="00AE2E47" w:rsidRPr="007D167D" w:rsidRDefault="005C29B3" w:rsidP="005C29B3">
      <w:pPr>
        <w:tabs>
          <w:tab w:val="right" w:pos="9990"/>
          <w:tab w:val="right" w:pos="10557"/>
        </w:tabs>
        <w:spacing w:after="0" w:line="240" w:lineRule="auto"/>
        <w:ind w:left="492" w:firstLine="142"/>
        <w:rPr>
          <w:rFonts w:ascii="Arial" w:eastAsia="Times New Roman" w:hAnsi="Arial" w:cs="Arial"/>
          <w:b/>
          <w:i/>
          <w:color w:val="000000"/>
          <w:lang w:eastAsia="es-MX"/>
        </w:rPr>
      </w:pPr>
      <w:r w:rsidRPr="007D167D">
        <w:rPr>
          <w:rFonts w:ascii="Arial" w:eastAsia="Times New Roman" w:hAnsi="Arial" w:cs="Arial"/>
          <w:b/>
          <w:i/>
          <w:color w:val="000000"/>
          <w:lang w:eastAsia="es-MX"/>
        </w:rPr>
        <w:t xml:space="preserve">          </w:t>
      </w:r>
    </w:p>
    <w:p w14:paraId="718B2BCD" w14:textId="77777777" w:rsidR="005C29B3" w:rsidRPr="007D167D" w:rsidRDefault="005C29B3" w:rsidP="005C29B3">
      <w:pPr>
        <w:rPr>
          <w:rFonts w:ascii="Arial" w:hAnsi="Arial" w:cs="Arial"/>
          <w:b/>
          <w:i/>
        </w:rPr>
      </w:pPr>
      <w:r w:rsidRPr="007D167D">
        <w:rPr>
          <w:rFonts w:ascii="Arial" w:eastAsia="Times New Roman" w:hAnsi="Arial" w:cs="Arial"/>
          <w:b/>
          <w:bCs/>
          <w:i/>
          <w:color w:val="000000"/>
          <w:lang w:eastAsia="es-MX"/>
        </w:rPr>
        <w:t>Pasivo No Circulante</w:t>
      </w:r>
    </w:p>
    <w:p w14:paraId="031C4D7D" w14:textId="77777777" w:rsidR="00E55FAC" w:rsidRPr="007D167D" w:rsidRDefault="005C29B3" w:rsidP="007B7886">
      <w:pPr>
        <w:rPr>
          <w:rFonts w:ascii="Arial" w:hAnsi="Arial" w:cs="Arial"/>
        </w:rPr>
      </w:pPr>
      <w:r w:rsidRPr="007D167D">
        <w:rPr>
          <w:rFonts w:ascii="Arial" w:hAnsi="Arial" w:cs="Arial"/>
        </w:rPr>
        <w:t>Nada que informar en este punto</w:t>
      </w:r>
    </w:p>
    <w:p w14:paraId="51A33717" w14:textId="631D6D4A" w:rsidR="005F64EA" w:rsidRPr="007D167D" w:rsidRDefault="008365E9" w:rsidP="005F64EA">
      <w:pPr>
        <w:rPr>
          <w:rFonts w:ascii="Arial" w:hAnsi="Arial" w:cs="Arial"/>
          <w:b/>
          <w:sz w:val="24"/>
          <w:szCs w:val="24"/>
        </w:rPr>
      </w:pPr>
      <w:r w:rsidRPr="007D167D">
        <w:rPr>
          <w:rFonts w:ascii="Arial" w:hAnsi="Arial" w:cs="Arial"/>
          <w:b/>
          <w:sz w:val="24"/>
          <w:szCs w:val="24"/>
        </w:rPr>
        <w:lastRenderedPageBreak/>
        <w:t>III). -</w:t>
      </w:r>
      <w:r w:rsidR="005F64EA" w:rsidRPr="007D167D">
        <w:rPr>
          <w:rFonts w:ascii="Arial" w:hAnsi="Arial" w:cs="Arial"/>
          <w:b/>
          <w:sz w:val="24"/>
          <w:szCs w:val="24"/>
        </w:rPr>
        <w:t xml:space="preserve"> NOTAS AL ESTADO DE VARIACIÓN EN LA HACIENDA P</w:t>
      </w:r>
      <w:r w:rsidR="0012639E" w:rsidRPr="007D167D">
        <w:rPr>
          <w:rFonts w:ascii="Arial" w:hAnsi="Arial" w:cs="Arial"/>
          <w:b/>
          <w:sz w:val="24"/>
          <w:szCs w:val="24"/>
        </w:rPr>
        <w:t>Ú</w:t>
      </w:r>
      <w:r w:rsidR="005F64EA" w:rsidRPr="007D167D">
        <w:rPr>
          <w:rFonts w:ascii="Arial" w:hAnsi="Arial" w:cs="Arial"/>
          <w:b/>
          <w:sz w:val="24"/>
          <w:szCs w:val="24"/>
        </w:rPr>
        <w:t>BLICA</w:t>
      </w:r>
    </w:p>
    <w:p w14:paraId="7D855F9F" w14:textId="77777777" w:rsidR="00922E7F" w:rsidRPr="007D167D" w:rsidRDefault="0012639E" w:rsidP="00775CED">
      <w:pPr>
        <w:jc w:val="both"/>
        <w:rPr>
          <w:rFonts w:ascii="Arial" w:hAnsi="Arial" w:cs="Arial"/>
        </w:rPr>
      </w:pPr>
      <w:r w:rsidRPr="007D167D">
        <w:rPr>
          <w:rFonts w:ascii="Arial" w:hAnsi="Arial" w:cs="Arial"/>
        </w:rPr>
        <w:t>1.- Se informará de forma agrupada de manera agrupada, acerca de las modificaciones al patrimonio contribuido por tipo, naturaleza y monto</w:t>
      </w:r>
      <w:r w:rsidR="00C16B65" w:rsidRPr="007D167D">
        <w:rPr>
          <w:rFonts w:ascii="Arial" w:hAnsi="Arial" w:cs="Arial"/>
        </w:rPr>
        <w:t>:</w:t>
      </w:r>
      <w:r w:rsidR="00922E7F" w:rsidRPr="007D167D">
        <w:rPr>
          <w:rFonts w:ascii="Arial" w:hAnsi="Arial" w:cs="Arial"/>
        </w:rPr>
        <w:t xml:space="preserve"> </w:t>
      </w:r>
    </w:p>
    <w:p w14:paraId="5274ADDC" w14:textId="77777777" w:rsidR="00922E7F" w:rsidRPr="007D167D" w:rsidRDefault="00922E7F" w:rsidP="00EF7648">
      <w:pPr>
        <w:rPr>
          <w:rFonts w:ascii="Arial" w:hAnsi="Arial" w:cs="Arial"/>
          <w:b/>
        </w:rPr>
      </w:pPr>
      <w:r w:rsidRPr="007D167D">
        <w:rPr>
          <w:rFonts w:ascii="Arial" w:hAnsi="Arial" w:cs="Arial"/>
          <w:b/>
        </w:rPr>
        <w:t>Nada que reportar en este punto</w:t>
      </w:r>
    </w:p>
    <w:p w14:paraId="3CA5726A" w14:textId="042C23E4" w:rsidR="00FC49A3" w:rsidRPr="007D167D" w:rsidRDefault="00FC49A3" w:rsidP="00FC49A3">
      <w:pPr>
        <w:pStyle w:val="Prrafodelista"/>
        <w:numPr>
          <w:ilvl w:val="0"/>
          <w:numId w:val="5"/>
        </w:numPr>
        <w:rPr>
          <w:rFonts w:ascii="Arial" w:hAnsi="Arial" w:cs="Arial"/>
        </w:rPr>
      </w:pPr>
      <w:r w:rsidRPr="007D167D">
        <w:rPr>
          <w:rFonts w:ascii="Arial" w:hAnsi="Arial" w:cs="Arial"/>
        </w:rPr>
        <w:t xml:space="preserve">RESULTADOS DE EJERCICIOS </w:t>
      </w:r>
      <w:r w:rsidR="00016279" w:rsidRPr="007D167D">
        <w:rPr>
          <w:rFonts w:ascii="Arial" w:hAnsi="Arial" w:cs="Arial"/>
        </w:rPr>
        <w:t>ANTERIOR</w:t>
      </w:r>
      <w:r w:rsidR="00016279">
        <w:rPr>
          <w:rFonts w:ascii="Arial" w:hAnsi="Arial" w:cs="Arial"/>
        </w:rPr>
        <w:t>ES</w:t>
      </w:r>
      <w:r w:rsidR="00016279" w:rsidRPr="007D167D">
        <w:rPr>
          <w:rFonts w:ascii="Arial" w:hAnsi="Arial" w:cs="Arial"/>
        </w:rPr>
        <w:t>. -</w:t>
      </w:r>
      <w:r w:rsidRPr="007D167D">
        <w:rPr>
          <w:rFonts w:ascii="Arial" w:hAnsi="Arial" w:cs="Arial"/>
        </w:rPr>
        <w:t xml:space="preserve"> Nada que reportar en este punto</w:t>
      </w:r>
      <w:r w:rsidR="00116D23">
        <w:rPr>
          <w:rFonts w:ascii="Arial" w:hAnsi="Arial" w:cs="Arial"/>
        </w:rPr>
        <w:t>.</w:t>
      </w:r>
    </w:p>
    <w:p w14:paraId="0A6EAB67" w14:textId="58D0749A" w:rsidR="00FC49A3" w:rsidRDefault="008365E9" w:rsidP="00FC49A3">
      <w:pPr>
        <w:pStyle w:val="Prrafodelista"/>
        <w:numPr>
          <w:ilvl w:val="0"/>
          <w:numId w:val="5"/>
        </w:numPr>
        <w:rPr>
          <w:rFonts w:ascii="Arial" w:hAnsi="Arial" w:cs="Arial"/>
        </w:rPr>
      </w:pPr>
      <w:r w:rsidRPr="007D167D">
        <w:rPr>
          <w:rFonts w:ascii="Arial" w:hAnsi="Arial" w:cs="Arial"/>
        </w:rPr>
        <w:t>DONACIONES. -</w:t>
      </w:r>
      <w:r w:rsidR="005E4C68" w:rsidRPr="007D167D">
        <w:rPr>
          <w:rFonts w:ascii="Arial" w:hAnsi="Arial" w:cs="Arial"/>
        </w:rPr>
        <w:t xml:space="preserve"> Nada que reportar en ente punto</w:t>
      </w:r>
      <w:r w:rsidR="00116D23">
        <w:rPr>
          <w:rFonts w:ascii="Arial" w:hAnsi="Arial" w:cs="Arial"/>
        </w:rPr>
        <w:t>.</w:t>
      </w:r>
    </w:p>
    <w:p w14:paraId="49714710" w14:textId="54307946" w:rsidR="00116D23" w:rsidRDefault="00116D23" w:rsidP="00116D23">
      <w:pPr>
        <w:rPr>
          <w:rFonts w:ascii="Arial" w:hAnsi="Arial" w:cs="Arial"/>
        </w:rPr>
      </w:pPr>
    </w:p>
    <w:p w14:paraId="217D2DED" w14:textId="77777777" w:rsidR="00E35DAF" w:rsidRPr="00116D23" w:rsidRDefault="00E35DAF" w:rsidP="00116D23">
      <w:pPr>
        <w:rPr>
          <w:rFonts w:ascii="Arial" w:hAnsi="Arial" w:cs="Arial"/>
        </w:rPr>
      </w:pPr>
    </w:p>
    <w:p w14:paraId="52B248C9" w14:textId="7D15FB64" w:rsidR="00C16B65" w:rsidRPr="007D167D" w:rsidRDefault="008365E9" w:rsidP="00C16B65">
      <w:pPr>
        <w:rPr>
          <w:rFonts w:ascii="Arial" w:hAnsi="Arial" w:cs="Arial"/>
          <w:b/>
          <w:sz w:val="24"/>
          <w:szCs w:val="24"/>
        </w:rPr>
      </w:pPr>
      <w:r w:rsidRPr="007D167D">
        <w:rPr>
          <w:rFonts w:ascii="Arial" w:hAnsi="Arial" w:cs="Arial"/>
          <w:b/>
          <w:sz w:val="24"/>
          <w:szCs w:val="24"/>
        </w:rPr>
        <w:t>IV). -</w:t>
      </w:r>
      <w:r w:rsidR="00C16B65" w:rsidRPr="007D167D">
        <w:rPr>
          <w:rFonts w:ascii="Arial" w:hAnsi="Arial" w:cs="Arial"/>
          <w:b/>
          <w:sz w:val="24"/>
          <w:szCs w:val="24"/>
        </w:rPr>
        <w:t xml:space="preserve"> NOTAS AL ESTADO DE FLUJO DE EFECTIVOS</w:t>
      </w:r>
    </w:p>
    <w:p w14:paraId="1C9F33F8" w14:textId="5A579B5D" w:rsidR="00B66467" w:rsidRDefault="00C16B65" w:rsidP="007B1DA7">
      <w:pPr>
        <w:jc w:val="both"/>
        <w:rPr>
          <w:rFonts w:ascii="Arial" w:hAnsi="Arial" w:cs="Arial"/>
        </w:rPr>
      </w:pPr>
      <w:r w:rsidRPr="007D167D">
        <w:rPr>
          <w:rFonts w:ascii="Arial" w:hAnsi="Arial" w:cs="Arial"/>
        </w:rPr>
        <w:t>1.-Presentacion del análisis de las cifras del periodo actual y periodo anterior del efectivo y equivalente al efectivo, al final del ejercic</w:t>
      </w:r>
      <w:r w:rsidR="007031D0" w:rsidRPr="007D167D">
        <w:rPr>
          <w:rFonts w:ascii="Arial" w:hAnsi="Arial" w:cs="Arial"/>
        </w:rPr>
        <w:t xml:space="preserve">io del Estado de </w:t>
      </w:r>
      <w:r w:rsidR="00116D23" w:rsidRPr="007D167D">
        <w:rPr>
          <w:rFonts w:ascii="Arial" w:hAnsi="Arial" w:cs="Arial"/>
        </w:rPr>
        <w:t>flujos de</w:t>
      </w:r>
      <w:r w:rsidR="007031D0" w:rsidRPr="007D167D">
        <w:rPr>
          <w:rFonts w:ascii="Arial" w:hAnsi="Arial" w:cs="Arial"/>
        </w:rPr>
        <w:t xml:space="preserve"> efectivo, respecto a la composición del rubro de Efectivo y equivalentes, utilizando el siguiente cuadro:</w:t>
      </w:r>
    </w:p>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84"/>
        <w:gridCol w:w="1874"/>
      </w:tblGrid>
      <w:tr w:rsidR="007031D0" w:rsidRPr="007D167D" w14:paraId="482D2D7A" w14:textId="77777777" w:rsidTr="00116D23">
        <w:trPr>
          <w:trHeight w:val="162"/>
          <w:jc w:val="center"/>
        </w:trPr>
        <w:tc>
          <w:tcPr>
            <w:tcW w:w="4248" w:type="dxa"/>
            <w:shd w:val="clear" w:color="000000" w:fill="808080"/>
          </w:tcPr>
          <w:p w14:paraId="2299689E" w14:textId="77777777" w:rsidR="007031D0" w:rsidRPr="007D167D" w:rsidRDefault="007031D0" w:rsidP="00C16B65">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984" w:type="dxa"/>
            <w:shd w:val="clear" w:color="000000" w:fill="808080"/>
            <w:noWrap/>
            <w:vAlign w:val="bottom"/>
            <w:hideMark/>
          </w:tcPr>
          <w:p w14:paraId="724F3FB9" w14:textId="77777777" w:rsidR="007031D0" w:rsidRPr="007D167D" w:rsidRDefault="007031D0" w:rsidP="00C16B65">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2146D3" w:rsidRPr="007D167D">
              <w:rPr>
                <w:rFonts w:ascii="Arial" w:eastAsia="Times New Roman" w:hAnsi="Arial" w:cs="Arial"/>
                <w:b/>
                <w:bCs/>
                <w:color w:val="000000"/>
                <w:lang w:eastAsia="es-MX"/>
              </w:rPr>
              <w:t>4</w:t>
            </w:r>
          </w:p>
        </w:tc>
        <w:tc>
          <w:tcPr>
            <w:tcW w:w="1874" w:type="dxa"/>
            <w:shd w:val="clear" w:color="000000" w:fill="808080"/>
            <w:noWrap/>
            <w:vAlign w:val="bottom"/>
            <w:hideMark/>
          </w:tcPr>
          <w:p w14:paraId="654CA39A" w14:textId="77777777" w:rsidR="007031D0" w:rsidRPr="007D167D" w:rsidRDefault="007031D0" w:rsidP="007961BE">
            <w:pPr>
              <w:spacing w:after="0" w:line="240" w:lineRule="auto"/>
              <w:ind w:left="185" w:hanging="185"/>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2146D3" w:rsidRPr="007D167D">
              <w:rPr>
                <w:rFonts w:ascii="Arial" w:eastAsia="Times New Roman" w:hAnsi="Arial" w:cs="Arial"/>
                <w:b/>
                <w:bCs/>
                <w:color w:val="000000"/>
                <w:lang w:eastAsia="es-MX"/>
              </w:rPr>
              <w:t>3</w:t>
            </w:r>
          </w:p>
        </w:tc>
      </w:tr>
      <w:tr w:rsidR="002146D3" w:rsidRPr="007D167D" w14:paraId="0D7DCC9A" w14:textId="77777777" w:rsidTr="00116D23">
        <w:trPr>
          <w:trHeight w:val="162"/>
          <w:jc w:val="center"/>
        </w:trPr>
        <w:tc>
          <w:tcPr>
            <w:tcW w:w="4248" w:type="dxa"/>
          </w:tcPr>
          <w:p w14:paraId="083675B1" w14:textId="77777777" w:rsidR="002146D3" w:rsidRPr="007D167D" w:rsidRDefault="002146D3" w:rsidP="002146D3">
            <w:pPr>
              <w:spacing w:after="0" w:line="240" w:lineRule="auto"/>
              <w:rPr>
                <w:rFonts w:ascii="Arial" w:eastAsia="Times New Roman" w:hAnsi="Arial" w:cs="Arial"/>
                <w:b/>
                <w:bCs/>
                <w:color w:val="000000"/>
                <w:lang w:eastAsia="es-MX"/>
              </w:rPr>
            </w:pPr>
            <w:r w:rsidRPr="007D167D">
              <w:rPr>
                <w:rFonts w:ascii="Arial" w:eastAsia="Times New Roman" w:hAnsi="Arial" w:cs="Arial"/>
                <w:color w:val="000000"/>
                <w:lang w:eastAsia="es-MX"/>
              </w:rPr>
              <w:t>Efectivo</w:t>
            </w:r>
          </w:p>
        </w:tc>
        <w:tc>
          <w:tcPr>
            <w:tcW w:w="1984" w:type="dxa"/>
            <w:shd w:val="clear" w:color="auto" w:fill="auto"/>
            <w:noWrap/>
            <w:vAlign w:val="bottom"/>
            <w:hideMark/>
          </w:tcPr>
          <w:p w14:paraId="2C4DCF02" w14:textId="08557020"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1B1B80">
              <w:rPr>
                <w:rFonts w:ascii="Arial" w:eastAsia="Times New Roman" w:hAnsi="Arial" w:cs="Arial"/>
                <w:b/>
                <w:bCs/>
                <w:color w:val="000000"/>
                <w:lang w:eastAsia="es-MX"/>
              </w:rPr>
              <w:t>5</w:t>
            </w:r>
            <w:r w:rsidRPr="007D167D">
              <w:rPr>
                <w:rFonts w:ascii="Arial" w:eastAsia="Times New Roman" w:hAnsi="Arial" w:cs="Arial"/>
                <w:b/>
                <w:bCs/>
                <w:color w:val="000000"/>
                <w:lang w:eastAsia="es-MX"/>
              </w:rPr>
              <w:t>,</w:t>
            </w:r>
            <w:r w:rsidR="001B1B80">
              <w:rPr>
                <w:rFonts w:ascii="Arial" w:eastAsia="Times New Roman" w:hAnsi="Arial" w:cs="Arial"/>
                <w:b/>
                <w:bCs/>
                <w:color w:val="000000"/>
                <w:lang w:eastAsia="es-MX"/>
              </w:rPr>
              <w:t>0</w:t>
            </w:r>
            <w:r w:rsidRPr="007D167D">
              <w:rPr>
                <w:rFonts w:ascii="Arial" w:eastAsia="Times New Roman" w:hAnsi="Arial" w:cs="Arial"/>
                <w:b/>
                <w:bCs/>
                <w:color w:val="000000"/>
                <w:lang w:eastAsia="es-MX"/>
              </w:rPr>
              <w:t>00.00</w:t>
            </w:r>
          </w:p>
        </w:tc>
        <w:tc>
          <w:tcPr>
            <w:tcW w:w="1874" w:type="dxa"/>
            <w:shd w:val="clear" w:color="auto" w:fill="auto"/>
            <w:noWrap/>
            <w:vAlign w:val="bottom"/>
            <w:hideMark/>
          </w:tcPr>
          <w:p w14:paraId="400B530C"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$ 6,500.00</w:t>
            </w:r>
          </w:p>
        </w:tc>
      </w:tr>
      <w:tr w:rsidR="002146D3" w:rsidRPr="007D167D" w14:paraId="14719F63" w14:textId="77777777" w:rsidTr="00116D23">
        <w:trPr>
          <w:trHeight w:val="162"/>
          <w:jc w:val="center"/>
        </w:trPr>
        <w:tc>
          <w:tcPr>
            <w:tcW w:w="4248" w:type="dxa"/>
          </w:tcPr>
          <w:p w14:paraId="2E1EF03C" w14:textId="77777777" w:rsidR="002146D3" w:rsidRPr="007D167D" w:rsidRDefault="002146D3" w:rsidP="002146D3">
            <w:pPr>
              <w:spacing w:after="0" w:line="240" w:lineRule="auto"/>
              <w:rPr>
                <w:rFonts w:ascii="Arial" w:eastAsia="Times New Roman" w:hAnsi="Arial" w:cs="Arial"/>
                <w:bCs/>
                <w:color w:val="000000"/>
                <w:lang w:eastAsia="es-MX"/>
              </w:rPr>
            </w:pPr>
            <w:r w:rsidRPr="007D167D">
              <w:rPr>
                <w:rFonts w:ascii="Arial" w:eastAsia="Times New Roman" w:hAnsi="Arial" w:cs="Arial"/>
                <w:bCs/>
                <w:color w:val="000000"/>
                <w:lang w:eastAsia="es-MX"/>
              </w:rPr>
              <w:t>Bancos/tesorería</w:t>
            </w:r>
          </w:p>
        </w:tc>
        <w:tc>
          <w:tcPr>
            <w:tcW w:w="1984" w:type="dxa"/>
            <w:shd w:val="clear" w:color="auto" w:fill="auto"/>
            <w:noWrap/>
            <w:vAlign w:val="bottom"/>
            <w:hideMark/>
          </w:tcPr>
          <w:p w14:paraId="73F301CA" w14:textId="72668B72" w:rsidR="002146D3" w:rsidRPr="007D167D" w:rsidRDefault="002146D3" w:rsidP="001B1B80">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02655C">
              <w:rPr>
                <w:rFonts w:ascii="Arial" w:eastAsia="Times New Roman" w:hAnsi="Arial" w:cs="Arial"/>
                <w:b/>
                <w:bCs/>
                <w:color w:val="000000"/>
                <w:lang w:eastAsia="es-MX"/>
              </w:rPr>
              <w:t>2,181,029.06</w:t>
            </w:r>
          </w:p>
        </w:tc>
        <w:tc>
          <w:tcPr>
            <w:tcW w:w="1874" w:type="dxa"/>
            <w:shd w:val="clear" w:color="auto" w:fill="auto"/>
            <w:noWrap/>
            <w:vAlign w:val="bottom"/>
            <w:hideMark/>
          </w:tcPr>
          <w:p w14:paraId="4C9893F9" w14:textId="784824D8" w:rsidR="002146D3" w:rsidRPr="007D167D" w:rsidRDefault="002146D3" w:rsidP="001B1B80">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$ 7,691,410.24</w:t>
            </w:r>
          </w:p>
        </w:tc>
      </w:tr>
      <w:tr w:rsidR="002146D3" w:rsidRPr="007D167D" w14:paraId="501FAB1D" w14:textId="77777777" w:rsidTr="00116D23">
        <w:trPr>
          <w:trHeight w:val="162"/>
          <w:jc w:val="center"/>
        </w:trPr>
        <w:tc>
          <w:tcPr>
            <w:tcW w:w="4248" w:type="dxa"/>
          </w:tcPr>
          <w:p w14:paraId="65FC49F7" w14:textId="77777777" w:rsidR="002146D3" w:rsidRPr="007D167D" w:rsidRDefault="002146D3" w:rsidP="002146D3">
            <w:pPr>
              <w:spacing w:after="0" w:line="240" w:lineRule="auto"/>
              <w:rPr>
                <w:rFonts w:ascii="Arial" w:eastAsia="Times New Roman" w:hAnsi="Arial" w:cs="Arial"/>
                <w:b/>
                <w:bCs/>
                <w:color w:val="000000"/>
                <w:lang w:eastAsia="es-MX"/>
              </w:rPr>
            </w:pPr>
            <w:r w:rsidRPr="007D167D">
              <w:rPr>
                <w:rFonts w:ascii="Arial" w:eastAsia="Times New Roman" w:hAnsi="Arial" w:cs="Arial"/>
                <w:color w:val="000000"/>
                <w:lang w:eastAsia="es-MX"/>
              </w:rPr>
              <w:t>bancos-Dependencias y otros</w:t>
            </w:r>
          </w:p>
        </w:tc>
        <w:tc>
          <w:tcPr>
            <w:tcW w:w="1984" w:type="dxa"/>
            <w:shd w:val="clear" w:color="auto" w:fill="auto"/>
            <w:noWrap/>
            <w:vAlign w:val="bottom"/>
            <w:hideMark/>
          </w:tcPr>
          <w:p w14:paraId="1AAE80FE" w14:textId="77777777" w:rsidR="002146D3" w:rsidRPr="007D167D" w:rsidRDefault="002146D3" w:rsidP="001B1B80">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p>
        </w:tc>
        <w:tc>
          <w:tcPr>
            <w:tcW w:w="1874" w:type="dxa"/>
            <w:shd w:val="clear" w:color="auto" w:fill="auto"/>
            <w:noWrap/>
            <w:vAlign w:val="bottom"/>
            <w:hideMark/>
          </w:tcPr>
          <w:p w14:paraId="33975835" w14:textId="77777777" w:rsidR="002146D3" w:rsidRPr="007D167D" w:rsidRDefault="002146D3" w:rsidP="001B1B80">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p>
        </w:tc>
      </w:tr>
      <w:tr w:rsidR="002146D3" w:rsidRPr="007D167D" w14:paraId="37B40737" w14:textId="77777777" w:rsidTr="00116D23">
        <w:trPr>
          <w:trHeight w:val="29"/>
          <w:jc w:val="center"/>
        </w:trPr>
        <w:tc>
          <w:tcPr>
            <w:tcW w:w="4248" w:type="dxa"/>
            <w:vAlign w:val="bottom"/>
          </w:tcPr>
          <w:p w14:paraId="69F46AC6"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Inversiones temporales (Hasta 3 Meses)</w:t>
            </w:r>
          </w:p>
        </w:tc>
        <w:tc>
          <w:tcPr>
            <w:tcW w:w="1984" w:type="dxa"/>
            <w:shd w:val="clear" w:color="auto" w:fill="auto"/>
            <w:noWrap/>
            <w:vAlign w:val="bottom"/>
            <w:hideMark/>
          </w:tcPr>
          <w:p w14:paraId="60B115B4" w14:textId="77777777" w:rsidR="002146D3" w:rsidRPr="007D167D" w:rsidRDefault="002146D3" w:rsidP="001B1B80">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p>
        </w:tc>
        <w:tc>
          <w:tcPr>
            <w:tcW w:w="1874" w:type="dxa"/>
            <w:shd w:val="clear" w:color="auto" w:fill="auto"/>
            <w:noWrap/>
            <w:vAlign w:val="bottom"/>
            <w:hideMark/>
          </w:tcPr>
          <w:p w14:paraId="049A8A30" w14:textId="77777777" w:rsidR="002146D3" w:rsidRPr="007D167D" w:rsidRDefault="002146D3" w:rsidP="001B1B80">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p>
        </w:tc>
      </w:tr>
      <w:tr w:rsidR="002146D3" w:rsidRPr="007D167D" w14:paraId="65D97736" w14:textId="77777777" w:rsidTr="00116D23">
        <w:trPr>
          <w:trHeight w:val="162"/>
          <w:jc w:val="center"/>
        </w:trPr>
        <w:tc>
          <w:tcPr>
            <w:tcW w:w="4248" w:type="dxa"/>
            <w:vAlign w:val="bottom"/>
          </w:tcPr>
          <w:p w14:paraId="1085902A"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Fondos con Afectación especifica</w:t>
            </w:r>
          </w:p>
        </w:tc>
        <w:tc>
          <w:tcPr>
            <w:tcW w:w="1984" w:type="dxa"/>
            <w:shd w:val="clear" w:color="auto" w:fill="auto"/>
            <w:noWrap/>
            <w:vAlign w:val="bottom"/>
          </w:tcPr>
          <w:p w14:paraId="6EF86429" w14:textId="77777777" w:rsidR="002146D3" w:rsidRPr="007D167D" w:rsidRDefault="002146D3" w:rsidP="001B1B80">
            <w:pPr>
              <w:spacing w:after="0" w:line="240" w:lineRule="auto"/>
              <w:jc w:val="right"/>
              <w:rPr>
                <w:rFonts w:ascii="Arial" w:eastAsia="Times New Roman" w:hAnsi="Arial" w:cs="Arial"/>
                <w:b/>
                <w:bCs/>
                <w:color w:val="000000"/>
                <w:lang w:eastAsia="es-MX"/>
              </w:rPr>
            </w:pPr>
          </w:p>
        </w:tc>
        <w:tc>
          <w:tcPr>
            <w:tcW w:w="1874" w:type="dxa"/>
            <w:shd w:val="clear" w:color="auto" w:fill="auto"/>
            <w:noWrap/>
            <w:vAlign w:val="bottom"/>
            <w:hideMark/>
          </w:tcPr>
          <w:p w14:paraId="4A276EFB" w14:textId="77777777" w:rsidR="002146D3" w:rsidRPr="007D167D" w:rsidRDefault="002146D3" w:rsidP="001B1B80">
            <w:pPr>
              <w:spacing w:after="0" w:line="240" w:lineRule="auto"/>
              <w:jc w:val="right"/>
              <w:rPr>
                <w:rFonts w:ascii="Arial" w:eastAsia="Times New Roman" w:hAnsi="Arial" w:cs="Arial"/>
                <w:b/>
                <w:bCs/>
                <w:color w:val="000000"/>
                <w:lang w:eastAsia="es-MX"/>
              </w:rPr>
            </w:pPr>
          </w:p>
        </w:tc>
      </w:tr>
      <w:tr w:rsidR="002146D3" w:rsidRPr="007D167D" w14:paraId="7AE624C7" w14:textId="77777777" w:rsidTr="00116D23">
        <w:trPr>
          <w:trHeight w:val="162"/>
          <w:jc w:val="center"/>
        </w:trPr>
        <w:tc>
          <w:tcPr>
            <w:tcW w:w="4248" w:type="dxa"/>
            <w:vAlign w:val="bottom"/>
          </w:tcPr>
          <w:p w14:paraId="62BF3F43"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Depósitos de Fondos de terceros y Otros</w:t>
            </w:r>
          </w:p>
        </w:tc>
        <w:tc>
          <w:tcPr>
            <w:tcW w:w="1984" w:type="dxa"/>
            <w:shd w:val="clear" w:color="auto" w:fill="auto"/>
            <w:noWrap/>
            <w:vAlign w:val="bottom"/>
          </w:tcPr>
          <w:p w14:paraId="5DEAD5B7" w14:textId="77777777" w:rsidR="002146D3" w:rsidRPr="007D167D" w:rsidRDefault="002146D3" w:rsidP="001B1B80">
            <w:pPr>
              <w:spacing w:after="0" w:line="240" w:lineRule="auto"/>
              <w:jc w:val="right"/>
              <w:rPr>
                <w:rFonts w:ascii="Arial" w:eastAsia="Times New Roman" w:hAnsi="Arial" w:cs="Arial"/>
                <w:b/>
                <w:bCs/>
                <w:color w:val="000000"/>
                <w:lang w:eastAsia="es-MX"/>
              </w:rPr>
            </w:pPr>
          </w:p>
        </w:tc>
        <w:tc>
          <w:tcPr>
            <w:tcW w:w="1874" w:type="dxa"/>
            <w:shd w:val="clear" w:color="auto" w:fill="auto"/>
            <w:noWrap/>
            <w:vAlign w:val="bottom"/>
          </w:tcPr>
          <w:p w14:paraId="1515A84C" w14:textId="77777777" w:rsidR="002146D3" w:rsidRPr="007D167D" w:rsidRDefault="002146D3" w:rsidP="001B1B80">
            <w:pPr>
              <w:spacing w:after="0" w:line="240" w:lineRule="auto"/>
              <w:jc w:val="right"/>
              <w:rPr>
                <w:rFonts w:ascii="Arial" w:eastAsia="Times New Roman" w:hAnsi="Arial" w:cs="Arial"/>
                <w:b/>
                <w:bCs/>
                <w:color w:val="000000"/>
                <w:lang w:eastAsia="es-MX"/>
              </w:rPr>
            </w:pPr>
          </w:p>
        </w:tc>
      </w:tr>
      <w:tr w:rsidR="002146D3" w:rsidRPr="007D167D" w14:paraId="5EC24D7B" w14:textId="77777777" w:rsidTr="00116D23">
        <w:trPr>
          <w:trHeight w:val="162"/>
          <w:jc w:val="center"/>
        </w:trPr>
        <w:tc>
          <w:tcPr>
            <w:tcW w:w="4248" w:type="dxa"/>
            <w:vAlign w:val="bottom"/>
          </w:tcPr>
          <w:p w14:paraId="6A1DD6D5"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Otros Efectivos y equivalentes</w:t>
            </w:r>
          </w:p>
        </w:tc>
        <w:tc>
          <w:tcPr>
            <w:tcW w:w="1984" w:type="dxa"/>
            <w:shd w:val="clear" w:color="auto" w:fill="auto"/>
            <w:noWrap/>
            <w:vAlign w:val="bottom"/>
          </w:tcPr>
          <w:p w14:paraId="15C7A2FE" w14:textId="77777777" w:rsidR="002146D3" w:rsidRPr="007D167D" w:rsidRDefault="002146D3" w:rsidP="001B1B80">
            <w:pPr>
              <w:spacing w:after="0" w:line="240" w:lineRule="auto"/>
              <w:jc w:val="right"/>
              <w:rPr>
                <w:rFonts w:ascii="Arial" w:eastAsia="Times New Roman" w:hAnsi="Arial" w:cs="Arial"/>
                <w:b/>
                <w:bCs/>
                <w:color w:val="000000"/>
                <w:lang w:eastAsia="es-MX"/>
              </w:rPr>
            </w:pPr>
          </w:p>
        </w:tc>
        <w:tc>
          <w:tcPr>
            <w:tcW w:w="1874" w:type="dxa"/>
            <w:shd w:val="clear" w:color="auto" w:fill="auto"/>
            <w:noWrap/>
            <w:vAlign w:val="bottom"/>
          </w:tcPr>
          <w:p w14:paraId="26C4962F" w14:textId="77777777" w:rsidR="002146D3" w:rsidRPr="007D167D" w:rsidRDefault="002146D3" w:rsidP="001B1B80">
            <w:pPr>
              <w:spacing w:after="0" w:line="240" w:lineRule="auto"/>
              <w:jc w:val="right"/>
              <w:rPr>
                <w:rFonts w:ascii="Arial" w:eastAsia="Times New Roman" w:hAnsi="Arial" w:cs="Arial"/>
                <w:b/>
                <w:bCs/>
                <w:color w:val="000000"/>
                <w:lang w:eastAsia="es-MX"/>
              </w:rPr>
            </w:pPr>
          </w:p>
        </w:tc>
      </w:tr>
      <w:tr w:rsidR="002146D3" w:rsidRPr="007D167D" w14:paraId="0D629A5B" w14:textId="77777777" w:rsidTr="00116D23">
        <w:trPr>
          <w:trHeight w:val="162"/>
          <w:jc w:val="center"/>
        </w:trPr>
        <w:tc>
          <w:tcPr>
            <w:tcW w:w="4248" w:type="dxa"/>
          </w:tcPr>
          <w:p w14:paraId="5F2361AA" w14:textId="77777777" w:rsidR="002146D3" w:rsidRPr="008365E9" w:rsidRDefault="002146D3" w:rsidP="002146D3">
            <w:pPr>
              <w:spacing w:after="0" w:line="240" w:lineRule="auto"/>
              <w:rPr>
                <w:rFonts w:ascii="Arial" w:eastAsia="Times New Roman" w:hAnsi="Arial" w:cs="Arial"/>
                <w:b/>
                <w:color w:val="000000"/>
                <w:lang w:eastAsia="es-MX"/>
              </w:rPr>
            </w:pPr>
            <w:r w:rsidRPr="008365E9">
              <w:rPr>
                <w:rFonts w:ascii="Arial" w:eastAsia="Times New Roman" w:hAnsi="Arial" w:cs="Arial"/>
                <w:b/>
                <w:color w:val="000000"/>
                <w:lang w:eastAsia="es-MX"/>
              </w:rPr>
              <w:t>Total, de Efectivo y Equivalentes</w:t>
            </w:r>
          </w:p>
        </w:tc>
        <w:tc>
          <w:tcPr>
            <w:tcW w:w="1984" w:type="dxa"/>
            <w:shd w:val="clear" w:color="auto" w:fill="auto"/>
            <w:noWrap/>
            <w:vAlign w:val="bottom"/>
            <w:hideMark/>
          </w:tcPr>
          <w:p w14:paraId="6B66ABDE" w14:textId="67ADE866"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02655C">
              <w:rPr>
                <w:rFonts w:ascii="Arial" w:eastAsia="Times New Roman" w:hAnsi="Arial" w:cs="Arial"/>
                <w:b/>
                <w:bCs/>
                <w:color w:val="000000"/>
                <w:lang w:eastAsia="es-MX"/>
              </w:rPr>
              <w:t>2,186,029.06</w:t>
            </w:r>
          </w:p>
        </w:tc>
        <w:tc>
          <w:tcPr>
            <w:tcW w:w="1874" w:type="dxa"/>
            <w:shd w:val="clear" w:color="auto" w:fill="auto"/>
            <w:noWrap/>
            <w:vAlign w:val="bottom"/>
            <w:hideMark/>
          </w:tcPr>
          <w:p w14:paraId="5CDC602E"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$ 7,691,410.24</w:t>
            </w:r>
          </w:p>
        </w:tc>
      </w:tr>
    </w:tbl>
    <w:p w14:paraId="53D9D230" w14:textId="77777777" w:rsidR="00071C10" w:rsidRDefault="00071C10" w:rsidP="00EC516E">
      <w:pPr>
        <w:jc w:val="center"/>
        <w:rPr>
          <w:rFonts w:ascii="Arial" w:hAnsi="Arial" w:cs="Arial"/>
        </w:rPr>
      </w:pPr>
    </w:p>
    <w:p w14:paraId="141CF8B5" w14:textId="5AB7AFA2" w:rsidR="00EC516E" w:rsidRPr="007D167D" w:rsidRDefault="0002655C" w:rsidP="00EC516E">
      <w:pPr>
        <w:jc w:val="center"/>
        <w:rPr>
          <w:rFonts w:ascii="Arial" w:hAnsi="Arial" w:cs="Arial"/>
        </w:rPr>
      </w:pPr>
      <w:r>
        <w:rPr>
          <w:noProof/>
        </w:rPr>
        <w:drawing>
          <wp:inline distT="0" distB="0" distL="0" distR="0" wp14:anchorId="543E1E41" wp14:editId="1E979515">
            <wp:extent cx="5940425" cy="1375410"/>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1375410"/>
                    </a:xfrm>
                    <a:prstGeom prst="rect">
                      <a:avLst/>
                    </a:prstGeom>
                  </pic:spPr>
                </pic:pic>
              </a:graphicData>
            </a:graphic>
          </wp:inline>
        </w:drawing>
      </w:r>
    </w:p>
    <w:p w14:paraId="1ADD40B9" w14:textId="77777777" w:rsidR="00346B93" w:rsidRDefault="00346B93" w:rsidP="00EF7648">
      <w:pPr>
        <w:rPr>
          <w:rFonts w:ascii="Arial" w:hAnsi="Arial" w:cs="Arial"/>
        </w:rPr>
      </w:pPr>
    </w:p>
    <w:p w14:paraId="18935E26" w14:textId="1C8AFB74" w:rsidR="007031D0" w:rsidRPr="007D167D" w:rsidRDefault="007031D0" w:rsidP="00EF7648">
      <w:pPr>
        <w:rPr>
          <w:rFonts w:ascii="Arial" w:hAnsi="Arial" w:cs="Arial"/>
        </w:rPr>
      </w:pPr>
      <w:r w:rsidRPr="007D167D">
        <w:rPr>
          <w:rFonts w:ascii="Arial" w:hAnsi="Arial" w:cs="Arial"/>
        </w:rPr>
        <w:t xml:space="preserve">2.- Presentar la conciliación de los flujos de efectivo netos de las actividades de operación y los saldos de resultados de ejercicios (ahorro/desahorro), </w:t>
      </w:r>
      <w:r w:rsidR="00704E7C" w:rsidRPr="007D167D">
        <w:rPr>
          <w:rFonts w:ascii="Arial" w:hAnsi="Arial" w:cs="Arial"/>
        </w:rPr>
        <w:t xml:space="preserve">(I-03) </w:t>
      </w:r>
      <w:r w:rsidRPr="007D167D">
        <w:rPr>
          <w:rFonts w:ascii="Arial" w:hAnsi="Arial" w:cs="Arial"/>
        </w:rPr>
        <w:t>utilizando el siguiente cuadro:</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0"/>
        <w:gridCol w:w="1487"/>
        <w:gridCol w:w="1489"/>
      </w:tblGrid>
      <w:tr w:rsidR="007031D0" w:rsidRPr="007D167D" w14:paraId="6C8A2E6B" w14:textId="77777777" w:rsidTr="00071C10">
        <w:trPr>
          <w:trHeight w:val="296"/>
          <w:jc w:val="center"/>
        </w:trPr>
        <w:tc>
          <w:tcPr>
            <w:tcW w:w="6080" w:type="dxa"/>
            <w:shd w:val="clear" w:color="000000" w:fill="808080"/>
          </w:tcPr>
          <w:p w14:paraId="688FA6C7" w14:textId="77777777" w:rsidR="007031D0" w:rsidRPr="007D167D" w:rsidRDefault="007031D0" w:rsidP="00080D97">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487" w:type="dxa"/>
            <w:shd w:val="clear" w:color="000000" w:fill="808080"/>
            <w:noWrap/>
            <w:vAlign w:val="bottom"/>
            <w:hideMark/>
          </w:tcPr>
          <w:p w14:paraId="69FE0B5D" w14:textId="77777777" w:rsidR="007031D0" w:rsidRPr="007D167D" w:rsidRDefault="007031D0" w:rsidP="00080D97">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91393A" w:rsidRPr="007D167D">
              <w:rPr>
                <w:rFonts w:ascii="Arial" w:eastAsia="Times New Roman" w:hAnsi="Arial" w:cs="Arial"/>
                <w:b/>
                <w:bCs/>
                <w:color w:val="000000"/>
                <w:lang w:eastAsia="es-MX"/>
              </w:rPr>
              <w:t>4</w:t>
            </w:r>
          </w:p>
        </w:tc>
        <w:tc>
          <w:tcPr>
            <w:tcW w:w="1489" w:type="dxa"/>
            <w:shd w:val="clear" w:color="000000" w:fill="808080"/>
            <w:noWrap/>
            <w:vAlign w:val="bottom"/>
            <w:hideMark/>
          </w:tcPr>
          <w:p w14:paraId="5206DE47" w14:textId="77777777" w:rsidR="007031D0" w:rsidRPr="007D167D" w:rsidRDefault="007031D0" w:rsidP="00080D97">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2146D3" w:rsidRPr="007D167D">
              <w:rPr>
                <w:rFonts w:ascii="Arial" w:eastAsia="Times New Roman" w:hAnsi="Arial" w:cs="Arial"/>
                <w:b/>
                <w:bCs/>
                <w:color w:val="000000"/>
                <w:lang w:eastAsia="es-MX"/>
              </w:rPr>
              <w:t>3</w:t>
            </w:r>
          </w:p>
        </w:tc>
      </w:tr>
      <w:tr w:rsidR="0091393A" w:rsidRPr="007D167D" w14:paraId="5DB78CDF" w14:textId="77777777" w:rsidTr="00071C10">
        <w:trPr>
          <w:trHeight w:val="296"/>
          <w:jc w:val="center"/>
        </w:trPr>
        <w:tc>
          <w:tcPr>
            <w:tcW w:w="6080" w:type="dxa"/>
          </w:tcPr>
          <w:p w14:paraId="0C23BCE7" w14:textId="77777777" w:rsidR="0091393A" w:rsidRPr="007D167D" w:rsidRDefault="0091393A" w:rsidP="0091393A">
            <w:pPr>
              <w:spacing w:after="0" w:line="240" w:lineRule="auto"/>
              <w:rPr>
                <w:rFonts w:ascii="Arial" w:eastAsia="Times New Roman" w:hAnsi="Arial" w:cs="Arial"/>
                <w:b/>
                <w:bCs/>
                <w:color w:val="000000"/>
                <w:lang w:eastAsia="es-MX"/>
              </w:rPr>
            </w:pPr>
            <w:r w:rsidRPr="007D167D">
              <w:rPr>
                <w:rFonts w:ascii="Arial" w:eastAsia="Times New Roman" w:hAnsi="Arial" w:cs="Arial"/>
                <w:b/>
                <w:color w:val="000000"/>
                <w:lang w:eastAsia="es-MX"/>
              </w:rPr>
              <w:t>Resultados del ejercicio Ahorro/Desahorro</w:t>
            </w:r>
          </w:p>
        </w:tc>
        <w:tc>
          <w:tcPr>
            <w:tcW w:w="1487" w:type="dxa"/>
            <w:shd w:val="clear" w:color="auto" w:fill="auto"/>
            <w:noWrap/>
            <w:vAlign w:val="bottom"/>
          </w:tcPr>
          <w:p w14:paraId="5212B179" w14:textId="439135BA"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xml:space="preserve">$ </w:t>
            </w:r>
            <w:r w:rsidR="0002655C">
              <w:rPr>
                <w:rFonts w:ascii="Arial Narrow" w:eastAsia="Times New Roman" w:hAnsi="Arial Narrow" w:cs="Calibri"/>
                <w:color w:val="000000"/>
                <w:lang w:eastAsia="es-MX"/>
              </w:rPr>
              <w:t>-1,046,985.67</w:t>
            </w:r>
          </w:p>
        </w:tc>
        <w:tc>
          <w:tcPr>
            <w:tcW w:w="1489" w:type="dxa"/>
            <w:shd w:val="clear" w:color="auto" w:fill="auto"/>
            <w:noWrap/>
            <w:vAlign w:val="bottom"/>
          </w:tcPr>
          <w:p w14:paraId="322F5AB5" w14:textId="77777777"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$ 3,826,550.76</w:t>
            </w:r>
          </w:p>
        </w:tc>
      </w:tr>
      <w:tr w:rsidR="0091393A" w:rsidRPr="007D167D" w14:paraId="6AB8A080" w14:textId="77777777" w:rsidTr="00071C10">
        <w:trPr>
          <w:trHeight w:val="296"/>
          <w:jc w:val="center"/>
        </w:trPr>
        <w:tc>
          <w:tcPr>
            <w:tcW w:w="6080" w:type="dxa"/>
          </w:tcPr>
          <w:p w14:paraId="65A42CEA" w14:textId="77777777" w:rsidR="0091393A" w:rsidRPr="007D167D" w:rsidRDefault="0091393A" w:rsidP="0091393A">
            <w:pPr>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Movimientos de partidas (o rubros) que no afectan al efectivo</w:t>
            </w:r>
          </w:p>
        </w:tc>
        <w:tc>
          <w:tcPr>
            <w:tcW w:w="1487" w:type="dxa"/>
            <w:shd w:val="clear" w:color="auto" w:fill="auto"/>
            <w:noWrap/>
            <w:vAlign w:val="bottom"/>
          </w:tcPr>
          <w:p w14:paraId="665BE80B"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489" w:type="dxa"/>
            <w:shd w:val="clear" w:color="auto" w:fill="auto"/>
            <w:noWrap/>
            <w:vAlign w:val="bottom"/>
          </w:tcPr>
          <w:p w14:paraId="6EE1E26F"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65B2361C" w14:textId="77777777" w:rsidTr="00071C10">
        <w:trPr>
          <w:trHeight w:val="161"/>
          <w:jc w:val="center"/>
        </w:trPr>
        <w:tc>
          <w:tcPr>
            <w:tcW w:w="6080" w:type="dxa"/>
          </w:tcPr>
          <w:p w14:paraId="47F24928" w14:textId="6E3CBBEF" w:rsidR="0091393A" w:rsidRPr="007D167D" w:rsidRDefault="0091393A" w:rsidP="0091393A">
            <w:pPr>
              <w:spacing w:after="0" w:line="240" w:lineRule="auto"/>
              <w:rPr>
                <w:rFonts w:ascii="Arial" w:eastAsia="Times New Roman" w:hAnsi="Arial" w:cs="Arial"/>
                <w:b/>
                <w:bCs/>
                <w:color w:val="000000"/>
                <w:lang w:eastAsia="es-MX"/>
              </w:rPr>
            </w:pPr>
            <w:r w:rsidRPr="007D167D">
              <w:rPr>
                <w:rFonts w:ascii="Arial" w:eastAsia="Times New Roman" w:hAnsi="Arial" w:cs="Arial"/>
                <w:color w:val="000000"/>
                <w:lang w:eastAsia="es-MX"/>
              </w:rPr>
              <w:t xml:space="preserve"> Depreciación</w:t>
            </w:r>
          </w:p>
        </w:tc>
        <w:tc>
          <w:tcPr>
            <w:tcW w:w="1487" w:type="dxa"/>
            <w:shd w:val="clear" w:color="auto" w:fill="auto"/>
            <w:noWrap/>
            <w:vAlign w:val="bottom"/>
          </w:tcPr>
          <w:p w14:paraId="34ED6AA2" w14:textId="17171CE7"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xml:space="preserve">$ </w:t>
            </w:r>
            <w:r w:rsidR="0002655C">
              <w:rPr>
                <w:rFonts w:ascii="Arial Narrow" w:eastAsia="Times New Roman" w:hAnsi="Arial Narrow" w:cs="Calibri"/>
                <w:color w:val="000000"/>
                <w:lang w:eastAsia="es-MX"/>
              </w:rPr>
              <w:t>34,175,163.78</w:t>
            </w:r>
          </w:p>
        </w:tc>
        <w:tc>
          <w:tcPr>
            <w:tcW w:w="1489" w:type="dxa"/>
            <w:shd w:val="clear" w:color="auto" w:fill="auto"/>
            <w:noWrap/>
            <w:vAlign w:val="bottom"/>
          </w:tcPr>
          <w:p w14:paraId="1320A04C" w14:textId="77777777"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$ 32,023,972.38</w:t>
            </w:r>
          </w:p>
        </w:tc>
      </w:tr>
      <w:tr w:rsidR="0091393A" w:rsidRPr="007D167D" w14:paraId="02923D5E" w14:textId="77777777" w:rsidTr="00071C10">
        <w:trPr>
          <w:trHeight w:val="53"/>
          <w:jc w:val="center"/>
        </w:trPr>
        <w:tc>
          <w:tcPr>
            <w:tcW w:w="6080" w:type="dxa"/>
            <w:vAlign w:val="bottom"/>
          </w:tcPr>
          <w:p w14:paraId="00D2BA59" w14:textId="3C22AF0C" w:rsidR="0091393A" w:rsidRPr="007D167D" w:rsidRDefault="0091393A" w:rsidP="0091393A">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lastRenderedPageBreak/>
              <w:t xml:space="preserve"> Amortización</w:t>
            </w:r>
          </w:p>
        </w:tc>
        <w:tc>
          <w:tcPr>
            <w:tcW w:w="1487" w:type="dxa"/>
            <w:shd w:val="clear" w:color="auto" w:fill="auto"/>
            <w:noWrap/>
            <w:vAlign w:val="bottom"/>
          </w:tcPr>
          <w:p w14:paraId="2F43AA92" w14:textId="77777777" w:rsidR="0091393A" w:rsidRPr="00D46FA8" w:rsidRDefault="0091393A" w:rsidP="0091393A">
            <w:pPr>
              <w:spacing w:after="0" w:line="240" w:lineRule="auto"/>
              <w:jc w:val="right"/>
              <w:rPr>
                <w:rFonts w:ascii="Arial Narrow" w:eastAsia="Times New Roman" w:hAnsi="Arial Narrow" w:cs="Arial"/>
                <w:bCs/>
                <w:color w:val="000000"/>
                <w:lang w:eastAsia="es-MX"/>
              </w:rPr>
            </w:pPr>
            <w:r w:rsidRPr="00D46FA8">
              <w:rPr>
                <w:rFonts w:ascii="Arial Narrow" w:eastAsia="Times New Roman" w:hAnsi="Arial Narrow" w:cs="Arial"/>
                <w:bCs/>
                <w:color w:val="000000"/>
                <w:lang w:eastAsia="es-MX"/>
              </w:rPr>
              <w:t>$ 73,964.63</w:t>
            </w:r>
          </w:p>
        </w:tc>
        <w:tc>
          <w:tcPr>
            <w:tcW w:w="1489" w:type="dxa"/>
            <w:shd w:val="clear" w:color="auto" w:fill="auto"/>
            <w:noWrap/>
            <w:vAlign w:val="bottom"/>
          </w:tcPr>
          <w:p w14:paraId="51F36C65" w14:textId="77777777" w:rsidR="0091393A" w:rsidRPr="00D46FA8" w:rsidRDefault="0091393A" w:rsidP="0091393A">
            <w:pPr>
              <w:spacing w:after="0" w:line="240" w:lineRule="auto"/>
              <w:jc w:val="right"/>
              <w:rPr>
                <w:rFonts w:ascii="Arial Narrow" w:eastAsia="Times New Roman" w:hAnsi="Arial Narrow" w:cs="Arial"/>
                <w:bCs/>
                <w:color w:val="000000"/>
                <w:lang w:eastAsia="es-MX"/>
              </w:rPr>
            </w:pPr>
            <w:r w:rsidRPr="00D46FA8">
              <w:rPr>
                <w:rFonts w:ascii="Arial Narrow" w:eastAsia="Times New Roman" w:hAnsi="Arial Narrow" w:cs="Arial"/>
                <w:bCs/>
                <w:color w:val="000000"/>
                <w:lang w:eastAsia="es-MX"/>
              </w:rPr>
              <w:t>$ 73,964.63</w:t>
            </w:r>
          </w:p>
        </w:tc>
      </w:tr>
      <w:tr w:rsidR="0091393A" w:rsidRPr="007D167D" w14:paraId="10C5C14E" w14:textId="77777777" w:rsidTr="00071C10">
        <w:trPr>
          <w:trHeight w:val="202"/>
          <w:jc w:val="center"/>
        </w:trPr>
        <w:tc>
          <w:tcPr>
            <w:tcW w:w="6080" w:type="dxa"/>
            <w:vAlign w:val="bottom"/>
          </w:tcPr>
          <w:p w14:paraId="3F48F2B3" w14:textId="0A1C10B7" w:rsidR="0091393A" w:rsidRPr="007D167D" w:rsidRDefault="0091393A" w:rsidP="0091393A">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 Incremento en las provisiones</w:t>
            </w:r>
          </w:p>
        </w:tc>
        <w:tc>
          <w:tcPr>
            <w:tcW w:w="1487" w:type="dxa"/>
            <w:shd w:val="clear" w:color="auto" w:fill="auto"/>
            <w:noWrap/>
            <w:vAlign w:val="bottom"/>
          </w:tcPr>
          <w:p w14:paraId="6C9395AB"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489" w:type="dxa"/>
            <w:shd w:val="clear" w:color="auto" w:fill="auto"/>
            <w:noWrap/>
            <w:vAlign w:val="bottom"/>
            <w:hideMark/>
          </w:tcPr>
          <w:p w14:paraId="74E1AD64"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256A854E" w14:textId="77777777" w:rsidTr="00071C10">
        <w:trPr>
          <w:trHeight w:val="205"/>
          <w:jc w:val="center"/>
        </w:trPr>
        <w:tc>
          <w:tcPr>
            <w:tcW w:w="6080" w:type="dxa"/>
            <w:vAlign w:val="bottom"/>
          </w:tcPr>
          <w:p w14:paraId="0D957713" w14:textId="77777777" w:rsidR="0091393A" w:rsidRPr="007D167D" w:rsidRDefault="0091393A" w:rsidP="00297F1A">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Incremento en inversiones producido por revaluación</w:t>
            </w:r>
          </w:p>
        </w:tc>
        <w:tc>
          <w:tcPr>
            <w:tcW w:w="1487" w:type="dxa"/>
            <w:shd w:val="clear" w:color="auto" w:fill="auto"/>
            <w:noWrap/>
            <w:vAlign w:val="bottom"/>
          </w:tcPr>
          <w:p w14:paraId="3A05CE0C"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489" w:type="dxa"/>
            <w:shd w:val="clear" w:color="auto" w:fill="auto"/>
            <w:noWrap/>
            <w:vAlign w:val="bottom"/>
          </w:tcPr>
          <w:p w14:paraId="0BBE7A67"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33FE3578" w14:textId="77777777" w:rsidTr="00071C10">
        <w:trPr>
          <w:trHeight w:val="296"/>
          <w:jc w:val="center"/>
        </w:trPr>
        <w:tc>
          <w:tcPr>
            <w:tcW w:w="6080" w:type="dxa"/>
            <w:vAlign w:val="bottom"/>
          </w:tcPr>
          <w:p w14:paraId="0288CA8C" w14:textId="77777777" w:rsidR="0091393A" w:rsidRPr="007D167D" w:rsidRDefault="0091393A" w:rsidP="00297F1A">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Ganancia/perdida en venta de bienes muebles, inmuebles e intangibles</w:t>
            </w:r>
          </w:p>
        </w:tc>
        <w:tc>
          <w:tcPr>
            <w:tcW w:w="1487" w:type="dxa"/>
            <w:shd w:val="clear" w:color="auto" w:fill="auto"/>
            <w:noWrap/>
            <w:vAlign w:val="bottom"/>
          </w:tcPr>
          <w:p w14:paraId="54CEFBBB"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489" w:type="dxa"/>
            <w:shd w:val="clear" w:color="auto" w:fill="auto"/>
            <w:noWrap/>
            <w:vAlign w:val="bottom"/>
          </w:tcPr>
          <w:p w14:paraId="239C087C"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71975C73" w14:textId="77777777" w:rsidTr="00071C10">
        <w:trPr>
          <w:trHeight w:val="296"/>
          <w:jc w:val="center"/>
        </w:trPr>
        <w:tc>
          <w:tcPr>
            <w:tcW w:w="6080" w:type="dxa"/>
            <w:vAlign w:val="bottom"/>
          </w:tcPr>
          <w:p w14:paraId="3A560DD1" w14:textId="77777777" w:rsidR="0091393A" w:rsidRPr="007D167D" w:rsidRDefault="0091393A" w:rsidP="00297F1A">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Incremento en cuentas por cobrar</w:t>
            </w:r>
          </w:p>
        </w:tc>
        <w:tc>
          <w:tcPr>
            <w:tcW w:w="1487" w:type="dxa"/>
            <w:shd w:val="clear" w:color="auto" w:fill="auto"/>
            <w:noWrap/>
            <w:vAlign w:val="bottom"/>
          </w:tcPr>
          <w:p w14:paraId="125CE0DF"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489" w:type="dxa"/>
            <w:shd w:val="clear" w:color="auto" w:fill="auto"/>
            <w:noWrap/>
            <w:vAlign w:val="bottom"/>
          </w:tcPr>
          <w:p w14:paraId="102B8B9A"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7A61975A" w14:textId="77777777" w:rsidTr="00071C10">
        <w:trPr>
          <w:trHeight w:val="296"/>
          <w:jc w:val="center"/>
        </w:trPr>
        <w:tc>
          <w:tcPr>
            <w:tcW w:w="6080" w:type="dxa"/>
          </w:tcPr>
          <w:p w14:paraId="56C288E2" w14:textId="77777777" w:rsidR="0091393A" w:rsidRPr="007D167D" w:rsidRDefault="0091393A" w:rsidP="0091393A">
            <w:pPr>
              <w:spacing w:after="0" w:line="240" w:lineRule="auto"/>
              <w:jc w:val="both"/>
              <w:rPr>
                <w:rFonts w:ascii="Arial" w:eastAsia="Times New Roman" w:hAnsi="Arial" w:cs="Arial"/>
                <w:b/>
                <w:bCs/>
                <w:color w:val="000000"/>
                <w:lang w:eastAsia="es-MX"/>
              </w:rPr>
            </w:pPr>
            <w:r w:rsidRPr="007D167D">
              <w:rPr>
                <w:rFonts w:ascii="Arial" w:eastAsia="Times New Roman" w:hAnsi="Arial" w:cs="Arial"/>
                <w:b/>
                <w:bCs/>
                <w:color w:val="000000"/>
                <w:lang w:eastAsia="es-MX"/>
              </w:rPr>
              <w:t>Flujos de efectivos netos de las actividades de operación</w:t>
            </w:r>
          </w:p>
        </w:tc>
        <w:tc>
          <w:tcPr>
            <w:tcW w:w="1487" w:type="dxa"/>
            <w:shd w:val="clear" w:color="auto" w:fill="auto"/>
            <w:noWrap/>
            <w:vAlign w:val="bottom"/>
          </w:tcPr>
          <w:p w14:paraId="000A2F88" w14:textId="7C183C8B" w:rsidR="0091393A" w:rsidRPr="00D46FA8" w:rsidRDefault="0091393A" w:rsidP="0091393A">
            <w:pPr>
              <w:spacing w:after="0" w:line="240" w:lineRule="auto"/>
              <w:jc w:val="right"/>
              <w:rPr>
                <w:rFonts w:ascii="Arial Narrow" w:eastAsia="Times New Roman" w:hAnsi="Arial Narrow" w:cs="Calibri"/>
                <w:b/>
                <w:bCs/>
                <w:color w:val="000000"/>
                <w:lang w:eastAsia="es-MX"/>
              </w:rPr>
            </w:pPr>
            <w:r w:rsidRPr="00D46FA8">
              <w:rPr>
                <w:rFonts w:ascii="Arial Narrow" w:eastAsia="Times New Roman" w:hAnsi="Arial Narrow" w:cs="Calibri"/>
                <w:b/>
                <w:bCs/>
                <w:color w:val="000000"/>
                <w:lang w:eastAsia="es-MX"/>
              </w:rPr>
              <w:t xml:space="preserve">$ </w:t>
            </w:r>
            <w:r w:rsidR="00144D59">
              <w:rPr>
                <w:rFonts w:ascii="Arial Narrow" w:eastAsia="Times New Roman" w:hAnsi="Arial Narrow" w:cs="Calibri"/>
                <w:b/>
                <w:bCs/>
                <w:color w:val="000000"/>
                <w:lang w:eastAsia="es-MX"/>
              </w:rPr>
              <w:t>33,202,142.74</w:t>
            </w:r>
          </w:p>
        </w:tc>
        <w:tc>
          <w:tcPr>
            <w:tcW w:w="1489" w:type="dxa"/>
            <w:shd w:val="clear" w:color="auto" w:fill="auto"/>
            <w:noWrap/>
            <w:vAlign w:val="bottom"/>
          </w:tcPr>
          <w:p w14:paraId="21CE1753" w14:textId="77777777" w:rsidR="0091393A" w:rsidRPr="00D46FA8" w:rsidRDefault="0091393A" w:rsidP="0091393A">
            <w:pPr>
              <w:spacing w:after="0" w:line="240" w:lineRule="auto"/>
              <w:jc w:val="right"/>
              <w:rPr>
                <w:rFonts w:ascii="Arial Narrow" w:eastAsia="Times New Roman" w:hAnsi="Arial Narrow" w:cs="Calibri"/>
                <w:b/>
                <w:bCs/>
                <w:color w:val="000000"/>
                <w:lang w:eastAsia="es-MX"/>
              </w:rPr>
            </w:pPr>
            <w:r w:rsidRPr="00D46FA8">
              <w:rPr>
                <w:rFonts w:ascii="Arial Narrow" w:eastAsia="Times New Roman" w:hAnsi="Arial Narrow" w:cs="Calibri"/>
                <w:b/>
                <w:bCs/>
                <w:color w:val="000000"/>
                <w:lang w:eastAsia="es-MX"/>
              </w:rPr>
              <w:t>$ 3</w:t>
            </w:r>
            <w:r w:rsidR="00EC25AF" w:rsidRPr="00D46FA8">
              <w:rPr>
                <w:rFonts w:ascii="Arial Narrow" w:eastAsia="Times New Roman" w:hAnsi="Arial Narrow" w:cs="Calibri"/>
                <w:b/>
                <w:bCs/>
                <w:color w:val="000000"/>
                <w:lang w:eastAsia="es-MX"/>
              </w:rPr>
              <w:t>5,924,487.77</w:t>
            </w:r>
          </w:p>
        </w:tc>
      </w:tr>
    </w:tbl>
    <w:p w14:paraId="0CF85B1F" w14:textId="7B5880B6" w:rsidR="00F93C3D" w:rsidRDefault="00F93C3D" w:rsidP="00D46FAD">
      <w:pPr>
        <w:rPr>
          <w:rFonts w:ascii="Arial" w:hAnsi="Arial" w:cs="Arial"/>
        </w:rPr>
      </w:pPr>
    </w:p>
    <w:p w14:paraId="5CB162A1" w14:textId="1C21A88F" w:rsidR="00E35DAF" w:rsidRDefault="00E35DAF" w:rsidP="00D46FAD">
      <w:pPr>
        <w:rPr>
          <w:rFonts w:ascii="Arial" w:hAnsi="Arial" w:cs="Arial"/>
        </w:rPr>
      </w:pPr>
    </w:p>
    <w:p w14:paraId="524C4945" w14:textId="77777777" w:rsidR="00E35DAF" w:rsidRPr="007D167D" w:rsidRDefault="00E35DAF" w:rsidP="00D46FAD">
      <w:pPr>
        <w:rPr>
          <w:rFonts w:ascii="Arial" w:hAnsi="Arial" w:cs="Arial"/>
        </w:rPr>
      </w:pPr>
    </w:p>
    <w:p w14:paraId="40A2EF98" w14:textId="5C0E7621" w:rsidR="00D46FAD" w:rsidRPr="007D167D" w:rsidRDefault="008365E9" w:rsidP="00775CED">
      <w:pPr>
        <w:jc w:val="both"/>
        <w:rPr>
          <w:rFonts w:ascii="Arial" w:hAnsi="Arial" w:cs="Arial"/>
          <w:b/>
          <w:sz w:val="24"/>
          <w:szCs w:val="24"/>
        </w:rPr>
      </w:pPr>
      <w:r w:rsidRPr="007D167D">
        <w:rPr>
          <w:rFonts w:ascii="Arial" w:hAnsi="Arial" w:cs="Arial"/>
          <w:b/>
          <w:sz w:val="24"/>
          <w:szCs w:val="24"/>
        </w:rPr>
        <w:t>V). -</w:t>
      </w:r>
      <w:r w:rsidR="00D46FAD" w:rsidRPr="007D167D">
        <w:rPr>
          <w:rFonts w:ascii="Arial" w:hAnsi="Arial" w:cs="Arial"/>
          <w:b/>
          <w:sz w:val="24"/>
          <w:szCs w:val="24"/>
        </w:rPr>
        <w:t xml:space="preserve"> CONCILIACIÓN ENTRE INGRESOS PRESUPUESTALES Y CONTABLES, ASI COMO ENTRE LOS EGRESOS PRESUPUESTALES Y LOS GASTOS CONTABLES.</w:t>
      </w:r>
    </w:p>
    <w:p w14:paraId="45CE68D2" w14:textId="53A3B54E" w:rsidR="00C16B65" w:rsidRDefault="00D46FAD" w:rsidP="00775CED">
      <w:pPr>
        <w:jc w:val="both"/>
        <w:rPr>
          <w:rFonts w:ascii="Arial" w:hAnsi="Arial" w:cs="Arial"/>
        </w:rPr>
      </w:pPr>
      <w:r w:rsidRPr="007D167D">
        <w:rPr>
          <w:rFonts w:ascii="Arial" w:hAnsi="Arial" w:cs="Arial"/>
        </w:rPr>
        <w:t>La conciliación se presentará atendiendo a lo dispuesto por el Acuerdo por el que se emite el formato de conciliación entre los ingresos presupuestarios y contables, así como entre los egresos presupuestarios y los gastos contables.</w:t>
      </w:r>
    </w:p>
    <w:p w14:paraId="1A980886" w14:textId="77777777" w:rsidR="00AD5C11" w:rsidRPr="007D167D" w:rsidRDefault="00AD5C11" w:rsidP="005E02C9">
      <w:pPr>
        <w:rPr>
          <w:rFonts w:ascii="Arial" w:hAnsi="Arial" w:cs="Arial"/>
          <w:b/>
        </w:rPr>
      </w:pPr>
      <w:r w:rsidRPr="007D167D">
        <w:rPr>
          <w:rFonts w:ascii="Arial" w:hAnsi="Arial" w:cs="Arial"/>
          <w:b/>
        </w:rPr>
        <w:t>Conciliación del Flujo de Efectivo (Otras aplicaciones de operación)</w:t>
      </w:r>
      <w:r w:rsidR="00D46FAD" w:rsidRPr="007D167D">
        <w:rPr>
          <w:rFonts w:ascii="Arial" w:hAnsi="Arial" w:cs="Arial"/>
          <w:b/>
        </w:rPr>
        <w:t xml:space="preserve">  </w:t>
      </w:r>
    </w:p>
    <w:p w14:paraId="558BB40D" w14:textId="3C9DA519" w:rsidR="00E73DBF" w:rsidRPr="007D167D" w:rsidRDefault="00E73DBF" w:rsidP="005E02C9">
      <w:pPr>
        <w:rPr>
          <w:rFonts w:ascii="Arial" w:hAnsi="Arial" w:cs="Arial"/>
        </w:rPr>
      </w:pPr>
      <w:r w:rsidRPr="007D167D">
        <w:rPr>
          <w:rFonts w:ascii="Arial" w:hAnsi="Arial" w:cs="Arial"/>
        </w:rPr>
        <w:t xml:space="preserve">La comparación es entre </w:t>
      </w:r>
      <w:r w:rsidR="00D46FA8" w:rsidRPr="007D167D">
        <w:rPr>
          <w:rFonts w:ascii="Arial" w:hAnsi="Arial" w:cs="Arial"/>
        </w:rPr>
        <w:t>los formatos</w:t>
      </w:r>
      <w:r w:rsidRPr="007D167D">
        <w:rPr>
          <w:rFonts w:ascii="Arial" w:hAnsi="Arial" w:cs="Arial"/>
        </w:rPr>
        <w:t xml:space="preserve"> ETCA-I-06 y ETCA-I-07</w:t>
      </w:r>
    </w:p>
    <w:p w14:paraId="6DE31462" w14:textId="3D9FB1B3" w:rsidR="00251377" w:rsidRPr="007D167D" w:rsidRDefault="002168FD" w:rsidP="005E02C9">
      <w:pPr>
        <w:rPr>
          <w:rFonts w:ascii="Arial" w:hAnsi="Arial" w:cs="Arial"/>
        </w:rPr>
      </w:pPr>
      <w:r w:rsidRPr="007D167D">
        <w:rPr>
          <w:rFonts w:ascii="Arial" w:hAnsi="Arial" w:cs="Arial"/>
        </w:rPr>
        <w:t xml:space="preserve">Para el </w:t>
      </w:r>
      <w:r w:rsidR="00144D59">
        <w:rPr>
          <w:rFonts w:ascii="Arial" w:hAnsi="Arial" w:cs="Arial"/>
        </w:rPr>
        <w:t>cuarto</w:t>
      </w:r>
      <w:r w:rsidRPr="007D167D">
        <w:rPr>
          <w:rFonts w:ascii="Arial" w:hAnsi="Arial" w:cs="Arial"/>
        </w:rPr>
        <w:t xml:space="preserve"> trimestre otras aplicaciones de operación presentan un monto de $0.00 pesos</w:t>
      </w:r>
      <w:r w:rsidR="00116D23">
        <w:rPr>
          <w:rFonts w:ascii="Arial" w:hAnsi="Arial" w:cs="Arial"/>
        </w:rPr>
        <w:t>.</w:t>
      </w:r>
    </w:p>
    <w:p w14:paraId="2389F28C" w14:textId="0ADAD931" w:rsidR="00D46FAD" w:rsidRPr="007D167D" w:rsidRDefault="00D46FAD" w:rsidP="00D013A7">
      <w:pPr>
        <w:rPr>
          <w:rFonts w:ascii="Arial" w:hAnsi="Arial" w:cs="Arial"/>
          <w:b/>
        </w:rPr>
      </w:pPr>
      <w:r w:rsidRPr="007D167D">
        <w:rPr>
          <w:rFonts w:ascii="Arial" w:hAnsi="Arial" w:cs="Arial"/>
          <w:b/>
        </w:rPr>
        <w:t xml:space="preserve">Formato </w:t>
      </w:r>
      <w:r w:rsidR="008365E9" w:rsidRPr="007D167D">
        <w:rPr>
          <w:rFonts w:ascii="Arial" w:hAnsi="Arial" w:cs="Arial"/>
          <w:b/>
        </w:rPr>
        <w:t>ETCA. -</w:t>
      </w:r>
      <w:r w:rsidRPr="007D167D">
        <w:rPr>
          <w:rFonts w:ascii="Arial" w:hAnsi="Arial" w:cs="Arial"/>
          <w:b/>
        </w:rPr>
        <w:t xml:space="preserve"> FLUJO DE EFECTIVO</w:t>
      </w:r>
      <w:r w:rsidR="005E02C9" w:rsidRPr="007D167D">
        <w:rPr>
          <w:rFonts w:ascii="Arial" w:hAnsi="Arial" w:cs="Arial"/>
          <w:b/>
        </w:rPr>
        <w:t>.</w:t>
      </w:r>
    </w:p>
    <w:p w14:paraId="1B8F2811" w14:textId="77777777" w:rsidR="00071C10" w:rsidRDefault="00144D59" w:rsidP="00795F00">
      <w:pPr>
        <w:jc w:val="center"/>
        <w:rPr>
          <w:rFonts w:ascii="Arial" w:hAnsi="Arial" w:cs="Arial"/>
          <w:b/>
        </w:rPr>
      </w:pPr>
      <w:r>
        <w:rPr>
          <w:noProof/>
        </w:rPr>
        <w:drawing>
          <wp:inline distT="0" distB="0" distL="0" distR="0" wp14:anchorId="480C2DC0" wp14:editId="37FC99A8">
            <wp:extent cx="4642566" cy="3570136"/>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8064" cy="3620504"/>
                    </a:xfrm>
                    <a:prstGeom prst="rect">
                      <a:avLst/>
                    </a:prstGeom>
                  </pic:spPr>
                </pic:pic>
              </a:graphicData>
            </a:graphic>
          </wp:inline>
        </w:drawing>
      </w:r>
    </w:p>
    <w:p w14:paraId="12528783" w14:textId="60E7114A" w:rsidR="00E35DAF" w:rsidRDefault="00144D59" w:rsidP="00795F00">
      <w:pPr>
        <w:jc w:val="center"/>
        <w:rPr>
          <w:rFonts w:ascii="Arial" w:hAnsi="Arial" w:cs="Arial"/>
          <w:b/>
        </w:rPr>
      </w:pPr>
      <w:r>
        <w:rPr>
          <w:noProof/>
        </w:rPr>
        <w:lastRenderedPageBreak/>
        <w:drawing>
          <wp:inline distT="0" distB="0" distL="0" distR="0" wp14:anchorId="33421E61" wp14:editId="203E351B">
            <wp:extent cx="4753155" cy="2755356"/>
            <wp:effectExtent l="0" t="0" r="952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53155" cy="2755356"/>
                    </a:xfrm>
                    <a:prstGeom prst="rect">
                      <a:avLst/>
                    </a:prstGeom>
                  </pic:spPr>
                </pic:pic>
              </a:graphicData>
            </a:graphic>
          </wp:inline>
        </w:drawing>
      </w:r>
      <w:r>
        <w:rPr>
          <w:noProof/>
        </w:rPr>
        <w:drawing>
          <wp:inline distT="0" distB="0" distL="0" distR="0" wp14:anchorId="17B75446" wp14:editId="083B0123">
            <wp:extent cx="4770408" cy="319217"/>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6744" cy="330348"/>
                    </a:xfrm>
                    <a:prstGeom prst="rect">
                      <a:avLst/>
                    </a:prstGeom>
                  </pic:spPr>
                </pic:pic>
              </a:graphicData>
            </a:graphic>
          </wp:inline>
        </w:drawing>
      </w:r>
    </w:p>
    <w:p w14:paraId="561BB4B2" w14:textId="77777777" w:rsidR="00E35DAF" w:rsidRPr="007D167D" w:rsidRDefault="00E35DAF" w:rsidP="00795F00">
      <w:pPr>
        <w:jc w:val="center"/>
        <w:rPr>
          <w:rFonts w:ascii="Arial" w:hAnsi="Arial" w:cs="Arial"/>
          <w:b/>
        </w:rPr>
      </w:pPr>
    </w:p>
    <w:p w14:paraId="4B24450C" w14:textId="32AD26E0" w:rsidR="00D46FAD" w:rsidRPr="007D167D" w:rsidRDefault="00D46FAD" w:rsidP="00D46FAD">
      <w:pPr>
        <w:jc w:val="both"/>
        <w:rPr>
          <w:rFonts w:ascii="Arial" w:hAnsi="Arial" w:cs="Arial"/>
          <w:b/>
        </w:rPr>
      </w:pPr>
      <w:r w:rsidRPr="007D167D">
        <w:rPr>
          <w:rFonts w:ascii="Arial" w:hAnsi="Arial" w:cs="Arial"/>
          <w:b/>
        </w:rPr>
        <w:t xml:space="preserve">Formato </w:t>
      </w:r>
      <w:r w:rsidR="008365E9" w:rsidRPr="007D167D">
        <w:rPr>
          <w:rFonts w:ascii="Arial" w:hAnsi="Arial" w:cs="Arial"/>
          <w:b/>
        </w:rPr>
        <w:t>ETCA. -</w:t>
      </w:r>
      <w:r w:rsidRPr="007D167D">
        <w:rPr>
          <w:rFonts w:ascii="Arial" w:hAnsi="Arial" w:cs="Arial"/>
          <w:b/>
        </w:rPr>
        <w:t xml:space="preserve"> CONCILIACI</w:t>
      </w:r>
      <w:r w:rsidR="00711D75" w:rsidRPr="007D167D">
        <w:rPr>
          <w:rFonts w:ascii="Arial" w:hAnsi="Arial" w:cs="Arial"/>
          <w:b/>
        </w:rPr>
        <w:t>Ó</w:t>
      </w:r>
      <w:r w:rsidRPr="007D167D">
        <w:rPr>
          <w:rFonts w:ascii="Arial" w:hAnsi="Arial" w:cs="Arial"/>
          <w:b/>
        </w:rPr>
        <w:t>N ENTRE LOS INGRESOS PRESUPUESTARIO</w:t>
      </w:r>
      <w:r w:rsidR="00CC3D62" w:rsidRPr="007D167D">
        <w:rPr>
          <w:rFonts w:ascii="Arial" w:hAnsi="Arial" w:cs="Arial"/>
          <w:b/>
        </w:rPr>
        <w:t>S</w:t>
      </w:r>
      <w:r w:rsidRPr="007D167D">
        <w:rPr>
          <w:rFonts w:ascii="Arial" w:hAnsi="Arial" w:cs="Arial"/>
          <w:b/>
        </w:rPr>
        <w:t xml:space="preserve"> Y CONTABLES</w:t>
      </w:r>
      <w:r w:rsidR="00711D75" w:rsidRPr="007D167D">
        <w:rPr>
          <w:rFonts w:ascii="Arial" w:hAnsi="Arial" w:cs="Arial"/>
          <w:b/>
        </w:rPr>
        <w:t>.</w:t>
      </w:r>
    </w:p>
    <w:p w14:paraId="5F5BBB57" w14:textId="2F5C3A0F" w:rsidR="0012627A" w:rsidRPr="007D167D" w:rsidRDefault="001F6146" w:rsidP="00AF1F7E">
      <w:pPr>
        <w:jc w:val="center"/>
        <w:rPr>
          <w:rFonts w:ascii="Arial" w:hAnsi="Arial" w:cs="Arial"/>
          <w:b/>
        </w:rPr>
      </w:pPr>
      <w:r>
        <w:rPr>
          <w:noProof/>
        </w:rPr>
        <w:drawing>
          <wp:inline distT="0" distB="0" distL="0" distR="0" wp14:anchorId="002C12DE" wp14:editId="4590D70D">
            <wp:extent cx="5940425" cy="2296795"/>
            <wp:effectExtent l="0" t="0" r="3175"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296795"/>
                    </a:xfrm>
                    <a:prstGeom prst="rect">
                      <a:avLst/>
                    </a:prstGeom>
                  </pic:spPr>
                </pic:pic>
              </a:graphicData>
            </a:graphic>
          </wp:inline>
        </w:drawing>
      </w:r>
    </w:p>
    <w:p w14:paraId="3795BB64" w14:textId="77777777" w:rsidR="00071C10" w:rsidRDefault="00071C10" w:rsidP="00D013A7">
      <w:pPr>
        <w:rPr>
          <w:rFonts w:ascii="Arial" w:hAnsi="Arial" w:cs="Arial"/>
          <w:b/>
        </w:rPr>
      </w:pPr>
    </w:p>
    <w:p w14:paraId="476DF881" w14:textId="77777777" w:rsidR="00071C10" w:rsidRDefault="00071C10" w:rsidP="00D013A7">
      <w:pPr>
        <w:rPr>
          <w:rFonts w:ascii="Arial" w:hAnsi="Arial" w:cs="Arial"/>
          <w:b/>
        </w:rPr>
      </w:pPr>
    </w:p>
    <w:p w14:paraId="0A7DF4AB" w14:textId="77777777" w:rsidR="00071C10" w:rsidRDefault="00071C10" w:rsidP="00D013A7">
      <w:pPr>
        <w:rPr>
          <w:rFonts w:ascii="Arial" w:hAnsi="Arial" w:cs="Arial"/>
          <w:b/>
        </w:rPr>
      </w:pPr>
    </w:p>
    <w:p w14:paraId="7058E402" w14:textId="77777777" w:rsidR="00071C10" w:rsidRDefault="00071C10" w:rsidP="00D013A7">
      <w:pPr>
        <w:rPr>
          <w:rFonts w:ascii="Arial" w:hAnsi="Arial" w:cs="Arial"/>
          <w:b/>
        </w:rPr>
      </w:pPr>
    </w:p>
    <w:p w14:paraId="579D7C8A" w14:textId="77777777" w:rsidR="00071C10" w:rsidRDefault="00071C10" w:rsidP="00D013A7">
      <w:pPr>
        <w:rPr>
          <w:rFonts w:ascii="Arial" w:hAnsi="Arial" w:cs="Arial"/>
          <w:b/>
        </w:rPr>
      </w:pPr>
    </w:p>
    <w:p w14:paraId="5D2EF270" w14:textId="1D300E33" w:rsidR="00FC49A3" w:rsidRPr="007D167D" w:rsidRDefault="00D46FAD" w:rsidP="00D013A7">
      <w:pPr>
        <w:rPr>
          <w:rFonts w:ascii="Arial" w:hAnsi="Arial" w:cs="Arial"/>
          <w:b/>
        </w:rPr>
      </w:pPr>
      <w:r w:rsidRPr="007D167D">
        <w:rPr>
          <w:rFonts w:ascii="Arial" w:hAnsi="Arial" w:cs="Arial"/>
          <w:b/>
        </w:rPr>
        <w:lastRenderedPageBreak/>
        <w:t xml:space="preserve">Formato </w:t>
      </w:r>
      <w:r w:rsidR="008365E9" w:rsidRPr="007D167D">
        <w:rPr>
          <w:rFonts w:ascii="Arial" w:hAnsi="Arial" w:cs="Arial"/>
          <w:b/>
        </w:rPr>
        <w:t>ETCA. -</w:t>
      </w:r>
      <w:r w:rsidRPr="007D167D">
        <w:rPr>
          <w:rFonts w:ascii="Arial" w:hAnsi="Arial" w:cs="Arial"/>
          <w:b/>
        </w:rPr>
        <w:t xml:space="preserve"> CONCILIACI</w:t>
      </w:r>
      <w:r w:rsidR="00711D75" w:rsidRPr="007D167D">
        <w:rPr>
          <w:rFonts w:ascii="Arial" w:hAnsi="Arial" w:cs="Arial"/>
          <w:b/>
        </w:rPr>
        <w:t>Ó</w:t>
      </w:r>
      <w:r w:rsidRPr="007D167D">
        <w:rPr>
          <w:rFonts w:ascii="Arial" w:hAnsi="Arial" w:cs="Arial"/>
          <w:b/>
        </w:rPr>
        <w:t>N ENTRE LOS EGRESOS PRESUPUESTARIOS Y LOS GASTOS CONTABLES</w:t>
      </w:r>
    </w:p>
    <w:p w14:paraId="6D1799DD" w14:textId="4C380558" w:rsidR="00711D75" w:rsidRPr="007D167D" w:rsidRDefault="001F6146" w:rsidP="00795F00">
      <w:pPr>
        <w:jc w:val="center"/>
        <w:rPr>
          <w:noProof/>
        </w:rPr>
      </w:pPr>
      <w:r>
        <w:rPr>
          <w:noProof/>
        </w:rPr>
        <w:drawing>
          <wp:inline distT="0" distB="0" distL="0" distR="0" wp14:anchorId="10169781" wp14:editId="462361DF">
            <wp:extent cx="5940425" cy="4224655"/>
            <wp:effectExtent l="0" t="0" r="3175"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4224655"/>
                    </a:xfrm>
                    <a:prstGeom prst="rect">
                      <a:avLst/>
                    </a:prstGeom>
                  </pic:spPr>
                </pic:pic>
              </a:graphicData>
            </a:graphic>
          </wp:inline>
        </w:drawing>
      </w:r>
      <w:r>
        <w:rPr>
          <w:noProof/>
        </w:rPr>
        <w:drawing>
          <wp:inline distT="0" distB="0" distL="0" distR="0" wp14:anchorId="1C31D0D8" wp14:editId="1E3CC1FF">
            <wp:extent cx="5940425" cy="325120"/>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325120"/>
                    </a:xfrm>
                    <a:prstGeom prst="rect">
                      <a:avLst/>
                    </a:prstGeom>
                  </pic:spPr>
                </pic:pic>
              </a:graphicData>
            </a:graphic>
          </wp:inline>
        </w:drawing>
      </w:r>
    </w:p>
    <w:p w14:paraId="08C02E69" w14:textId="3F634D97" w:rsidR="00FC49A3" w:rsidRPr="007D167D" w:rsidRDefault="00FC49A3" w:rsidP="00FC49A3">
      <w:pPr>
        <w:rPr>
          <w:rFonts w:ascii="Arial" w:hAnsi="Arial" w:cs="Arial"/>
          <w:b/>
        </w:rPr>
      </w:pPr>
      <w:r w:rsidRPr="007D167D">
        <w:rPr>
          <w:rFonts w:ascii="Arial" w:hAnsi="Arial" w:cs="Arial"/>
          <w:b/>
        </w:rPr>
        <w:t>b</w:t>
      </w:r>
      <w:r w:rsidR="00FA456B" w:rsidRPr="007D167D">
        <w:rPr>
          <w:rFonts w:ascii="Arial" w:hAnsi="Arial" w:cs="Arial"/>
          <w:b/>
        </w:rPr>
        <w:t>). -</w:t>
      </w:r>
      <w:r w:rsidRPr="007D167D">
        <w:rPr>
          <w:rFonts w:ascii="Arial" w:hAnsi="Arial" w:cs="Arial"/>
          <w:b/>
        </w:rPr>
        <w:t xml:space="preserve"> NOTAS DE MEMORIAS (CUENTAS DE ORDEN)</w:t>
      </w:r>
      <w:r w:rsidR="00711D75" w:rsidRPr="007D167D">
        <w:rPr>
          <w:rFonts w:ascii="Arial" w:hAnsi="Arial" w:cs="Arial"/>
          <w:b/>
        </w:rPr>
        <w:t>.</w:t>
      </w:r>
    </w:p>
    <w:p w14:paraId="4FC13654" w14:textId="77777777" w:rsidR="00574F15" w:rsidRPr="007D167D" w:rsidRDefault="00FC49A3" w:rsidP="00FC49A3">
      <w:pPr>
        <w:rPr>
          <w:rFonts w:ascii="Arial" w:hAnsi="Arial" w:cs="Arial"/>
        </w:rPr>
      </w:pPr>
      <w:r w:rsidRPr="007D167D">
        <w:rPr>
          <w:rFonts w:ascii="Arial" w:hAnsi="Arial" w:cs="Arial"/>
        </w:rPr>
        <w:t>A la fecha el Instituto Tecnológico Superior de Puerto Peñasco tiene registradas cuentas de orden presupuestales, las cuales se componen por:</w:t>
      </w:r>
    </w:p>
    <w:p w14:paraId="1D02A99B" w14:textId="4F0C8D64" w:rsidR="001A1192" w:rsidRDefault="001F6146" w:rsidP="00E35DAF">
      <w:pPr>
        <w:jc w:val="center"/>
        <w:rPr>
          <w:rFonts w:ascii="Arial" w:hAnsi="Arial" w:cs="Arial"/>
          <w:b/>
        </w:rPr>
      </w:pPr>
      <w:r>
        <w:rPr>
          <w:noProof/>
        </w:rPr>
        <w:drawing>
          <wp:inline distT="0" distB="0" distL="0" distR="0" wp14:anchorId="2F990DAB" wp14:editId="03A1D0B2">
            <wp:extent cx="3927944" cy="2030943"/>
            <wp:effectExtent l="0" t="0" r="0"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51692" cy="2043222"/>
                    </a:xfrm>
                    <a:prstGeom prst="rect">
                      <a:avLst/>
                    </a:prstGeom>
                  </pic:spPr>
                </pic:pic>
              </a:graphicData>
            </a:graphic>
          </wp:inline>
        </w:drawing>
      </w:r>
    </w:p>
    <w:sectPr w:rsidR="001A1192" w:rsidSect="00A21F7D">
      <w:headerReference w:type="default" r:id="rId24"/>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8E48" w14:textId="77777777" w:rsidR="00945ADC" w:rsidRDefault="00945ADC" w:rsidP="007B7886">
      <w:pPr>
        <w:spacing w:after="0" w:line="240" w:lineRule="auto"/>
      </w:pPr>
      <w:r>
        <w:separator/>
      </w:r>
    </w:p>
  </w:endnote>
  <w:endnote w:type="continuationSeparator" w:id="0">
    <w:p w14:paraId="1FE0EBD0" w14:textId="77777777" w:rsidR="00945ADC" w:rsidRDefault="00945ADC" w:rsidP="007B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9499" w14:textId="77777777" w:rsidR="00945ADC" w:rsidRDefault="00945ADC" w:rsidP="007B7886">
      <w:pPr>
        <w:spacing w:after="0" w:line="240" w:lineRule="auto"/>
      </w:pPr>
      <w:r>
        <w:separator/>
      </w:r>
    </w:p>
  </w:footnote>
  <w:footnote w:type="continuationSeparator" w:id="0">
    <w:p w14:paraId="3983C565" w14:textId="77777777" w:rsidR="00945ADC" w:rsidRDefault="00945ADC" w:rsidP="007B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page" w:tblpX="427" w:tblpY="-1416"/>
      <w:tblW w:w="11057" w:type="dxa"/>
      <w:tblCellMar>
        <w:left w:w="70" w:type="dxa"/>
        <w:right w:w="70" w:type="dxa"/>
      </w:tblCellMar>
      <w:tblLook w:val="04A0" w:firstRow="1" w:lastRow="0" w:firstColumn="1" w:lastColumn="0" w:noHBand="0" w:noVBand="1"/>
    </w:tblPr>
    <w:tblGrid>
      <w:gridCol w:w="11057"/>
    </w:tblGrid>
    <w:tr w:rsidR="00945ADC" w:rsidRPr="00D93B9E" w14:paraId="1A69DEE9" w14:textId="77777777" w:rsidTr="001720DB">
      <w:trPr>
        <w:trHeight w:val="300"/>
      </w:trPr>
      <w:tc>
        <w:tcPr>
          <w:tcW w:w="11057" w:type="dxa"/>
          <w:tcBorders>
            <w:top w:val="nil"/>
            <w:left w:val="nil"/>
            <w:bottom w:val="nil"/>
            <w:right w:val="nil"/>
          </w:tcBorders>
          <w:shd w:val="clear" w:color="auto" w:fill="auto"/>
          <w:noWrap/>
          <w:vAlign w:val="bottom"/>
          <w:hideMark/>
        </w:tcPr>
        <w:p w14:paraId="684F4A5F"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p>
        <w:p w14:paraId="44E501CB"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p>
        <w:p w14:paraId="20829613"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D93B9E">
            <w:rPr>
              <w:rFonts w:ascii="Arial" w:eastAsia="Times New Roman" w:hAnsi="Arial" w:cs="Arial"/>
              <w:b/>
              <w:bCs/>
              <w:color w:val="000000"/>
              <w:sz w:val="20"/>
              <w:szCs w:val="20"/>
              <w:lang w:eastAsia="es-MX"/>
            </w:rPr>
            <w:t>Sistema Estatal de Evaluación</w:t>
          </w:r>
          <w:r>
            <w:rPr>
              <w:rFonts w:ascii="Arial" w:eastAsia="Times New Roman" w:hAnsi="Arial" w:cs="Arial"/>
              <w:b/>
              <w:bCs/>
              <w:color w:val="000000"/>
              <w:sz w:val="20"/>
              <w:szCs w:val="20"/>
              <w:lang w:eastAsia="es-MX"/>
            </w:rPr>
            <w:t xml:space="preserve">                                                 ETCA-I-12</w:t>
          </w:r>
        </w:p>
        <w:p w14:paraId="4CC41BC3" w14:textId="77777777" w:rsidR="00945ADC" w:rsidRPr="00D93B9E"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Instituto Tecnológico Superior de Puerto Peñasco</w:t>
          </w:r>
        </w:p>
      </w:tc>
    </w:tr>
    <w:tr w:rsidR="00945ADC" w:rsidRPr="00D93B9E" w14:paraId="32136F1A" w14:textId="77777777" w:rsidTr="00276E5E">
      <w:trPr>
        <w:trHeight w:val="793"/>
      </w:trPr>
      <w:tc>
        <w:tcPr>
          <w:tcW w:w="11057" w:type="dxa"/>
          <w:tcBorders>
            <w:top w:val="nil"/>
            <w:left w:val="nil"/>
            <w:bottom w:val="nil"/>
            <w:right w:val="nil"/>
          </w:tcBorders>
          <w:shd w:val="clear" w:color="auto" w:fill="auto"/>
          <w:noWrap/>
          <w:hideMark/>
        </w:tcPr>
        <w:p w14:paraId="6A9946AA"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r w:rsidRPr="00D93B9E">
            <w:rPr>
              <w:rFonts w:ascii="Arial" w:eastAsia="Times New Roman" w:hAnsi="Arial" w:cs="Arial"/>
              <w:b/>
              <w:bCs/>
              <w:color w:val="000000"/>
              <w:sz w:val="20"/>
              <w:szCs w:val="20"/>
              <w:lang w:eastAsia="es-MX"/>
            </w:rPr>
            <w:t>Notas a los Estados Financieros</w:t>
          </w:r>
        </w:p>
        <w:p w14:paraId="1538E68A"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p>
        <w:p w14:paraId="42F0FC7F" w14:textId="673E9BDE" w:rsidR="00945ADC" w:rsidRPr="00D93B9E"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AL 3</w:t>
          </w:r>
          <w:r w:rsidR="00F216AA">
            <w:rPr>
              <w:rFonts w:ascii="Arial" w:eastAsia="Times New Roman" w:hAnsi="Arial" w:cs="Arial"/>
              <w:b/>
              <w:bCs/>
              <w:color w:val="000000"/>
              <w:sz w:val="20"/>
              <w:szCs w:val="20"/>
              <w:lang w:eastAsia="es-MX"/>
            </w:rPr>
            <w:t>1</w:t>
          </w:r>
          <w:r>
            <w:rPr>
              <w:rFonts w:ascii="Arial" w:eastAsia="Times New Roman" w:hAnsi="Arial" w:cs="Arial"/>
              <w:b/>
              <w:bCs/>
              <w:color w:val="000000"/>
              <w:sz w:val="20"/>
              <w:szCs w:val="20"/>
              <w:lang w:eastAsia="es-MX"/>
            </w:rPr>
            <w:t xml:space="preserve"> DE </w:t>
          </w:r>
          <w:r w:rsidR="00F216AA">
            <w:rPr>
              <w:rFonts w:ascii="Arial" w:eastAsia="Times New Roman" w:hAnsi="Arial" w:cs="Arial"/>
              <w:b/>
              <w:bCs/>
              <w:color w:val="000000"/>
              <w:sz w:val="20"/>
              <w:szCs w:val="20"/>
              <w:lang w:eastAsia="es-MX"/>
            </w:rPr>
            <w:t>DICI</w:t>
          </w:r>
          <w:r w:rsidR="002F268B">
            <w:rPr>
              <w:rFonts w:ascii="Arial" w:eastAsia="Times New Roman" w:hAnsi="Arial" w:cs="Arial"/>
              <w:b/>
              <w:bCs/>
              <w:color w:val="000000"/>
              <w:sz w:val="20"/>
              <w:szCs w:val="20"/>
              <w:lang w:eastAsia="es-MX"/>
            </w:rPr>
            <w:t>EMBRE</w:t>
          </w:r>
          <w:r>
            <w:rPr>
              <w:rFonts w:ascii="Arial" w:eastAsia="Times New Roman" w:hAnsi="Arial" w:cs="Arial"/>
              <w:b/>
              <w:bCs/>
              <w:color w:val="000000"/>
              <w:sz w:val="20"/>
              <w:szCs w:val="20"/>
              <w:lang w:eastAsia="es-MX"/>
            </w:rPr>
            <w:t xml:space="preserve"> DE 2024</w:t>
          </w:r>
        </w:p>
      </w:tc>
    </w:tr>
  </w:tbl>
  <w:p w14:paraId="2E99FF8E" w14:textId="77777777" w:rsidR="00945ADC" w:rsidRDefault="00945A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21E"/>
    <w:multiLevelType w:val="hybridMultilevel"/>
    <w:tmpl w:val="D910F822"/>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1B74533"/>
    <w:multiLevelType w:val="hybridMultilevel"/>
    <w:tmpl w:val="D3F84C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5B2D60"/>
    <w:multiLevelType w:val="hybridMultilevel"/>
    <w:tmpl w:val="E3723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655C44"/>
    <w:multiLevelType w:val="hybridMultilevel"/>
    <w:tmpl w:val="FFE4695E"/>
    <w:lvl w:ilvl="0" w:tplc="4DFC3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C72294"/>
    <w:multiLevelType w:val="hybridMultilevel"/>
    <w:tmpl w:val="7660D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2718B4"/>
    <w:multiLevelType w:val="hybridMultilevel"/>
    <w:tmpl w:val="5FF48E8A"/>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6CC64288"/>
    <w:multiLevelType w:val="hybridMultilevel"/>
    <w:tmpl w:val="15AA5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7F111A"/>
    <w:multiLevelType w:val="hybridMultilevel"/>
    <w:tmpl w:val="A5E02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86"/>
    <w:rsid w:val="00000903"/>
    <w:rsid w:val="00001E49"/>
    <w:rsid w:val="00006BCA"/>
    <w:rsid w:val="00012616"/>
    <w:rsid w:val="00016279"/>
    <w:rsid w:val="00022D16"/>
    <w:rsid w:val="0002655C"/>
    <w:rsid w:val="00027853"/>
    <w:rsid w:val="00036C38"/>
    <w:rsid w:val="00036DAE"/>
    <w:rsid w:val="00054C73"/>
    <w:rsid w:val="00071C10"/>
    <w:rsid w:val="00074BBC"/>
    <w:rsid w:val="00080D97"/>
    <w:rsid w:val="000832D6"/>
    <w:rsid w:val="00083AF3"/>
    <w:rsid w:val="000859B6"/>
    <w:rsid w:val="000914D7"/>
    <w:rsid w:val="00096987"/>
    <w:rsid w:val="000C0B57"/>
    <w:rsid w:val="000D4973"/>
    <w:rsid w:val="000D77D9"/>
    <w:rsid w:val="000F06D4"/>
    <w:rsid w:val="000F625D"/>
    <w:rsid w:val="001040CC"/>
    <w:rsid w:val="001074A1"/>
    <w:rsid w:val="00115309"/>
    <w:rsid w:val="00116D23"/>
    <w:rsid w:val="00121800"/>
    <w:rsid w:val="0012627A"/>
    <w:rsid w:val="0012639E"/>
    <w:rsid w:val="0012710C"/>
    <w:rsid w:val="001312D8"/>
    <w:rsid w:val="00135BCD"/>
    <w:rsid w:val="0014110C"/>
    <w:rsid w:val="00144D59"/>
    <w:rsid w:val="00145299"/>
    <w:rsid w:val="001457DF"/>
    <w:rsid w:val="00151DF4"/>
    <w:rsid w:val="00152D3E"/>
    <w:rsid w:val="00161B2B"/>
    <w:rsid w:val="001720DB"/>
    <w:rsid w:val="00172C66"/>
    <w:rsid w:val="001851F6"/>
    <w:rsid w:val="001936AC"/>
    <w:rsid w:val="001974C4"/>
    <w:rsid w:val="001A0148"/>
    <w:rsid w:val="001A1192"/>
    <w:rsid w:val="001A7E89"/>
    <w:rsid w:val="001B1B80"/>
    <w:rsid w:val="001B2C7C"/>
    <w:rsid w:val="001B66EE"/>
    <w:rsid w:val="001C1A19"/>
    <w:rsid w:val="001C6E35"/>
    <w:rsid w:val="001D5E87"/>
    <w:rsid w:val="001D7666"/>
    <w:rsid w:val="001E6266"/>
    <w:rsid w:val="001F6146"/>
    <w:rsid w:val="00205705"/>
    <w:rsid w:val="002146D3"/>
    <w:rsid w:val="00215626"/>
    <w:rsid w:val="002168FD"/>
    <w:rsid w:val="00216ABF"/>
    <w:rsid w:val="002241C6"/>
    <w:rsid w:val="00241294"/>
    <w:rsid w:val="00244552"/>
    <w:rsid w:val="00246C71"/>
    <w:rsid w:val="002478DD"/>
    <w:rsid w:val="00251377"/>
    <w:rsid w:val="00255E23"/>
    <w:rsid w:val="0025759E"/>
    <w:rsid w:val="00262166"/>
    <w:rsid w:val="00276E5E"/>
    <w:rsid w:val="002855AA"/>
    <w:rsid w:val="00295548"/>
    <w:rsid w:val="00297F1A"/>
    <w:rsid w:val="002A766E"/>
    <w:rsid w:val="002B1CAD"/>
    <w:rsid w:val="002B3F35"/>
    <w:rsid w:val="002B449B"/>
    <w:rsid w:val="002B5C93"/>
    <w:rsid w:val="002C13E7"/>
    <w:rsid w:val="002C1B7C"/>
    <w:rsid w:val="002C3052"/>
    <w:rsid w:val="002D5F4C"/>
    <w:rsid w:val="002D7188"/>
    <w:rsid w:val="002E3F28"/>
    <w:rsid w:val="002E557E"/>
    <w:rsid w:val="002E55EC"/>
    <w:rsid w:val="002E7317"/>
    <w:rsid w:val="002F05C8"/>
    <w:rsid w:val="002F268B"/>
    <w:rsid w:val="002F60D9"/>
    <w:rsid w:val="00302560"/>
    <w:rsid w:val="00315A5B"/>
    <w:rsid w:val="003237B3"/>
    <w:rsid w:val="00334CAC"/>
    <w:rsid w:val="0034515A"/>
    <w:rsid w:val="00346A99"/>
    <w:rsid w:val="00346B93"/>
    <w:rsid w:val="00354C68"/>
    <w:rsid w:val="00361ADC"/>
    <w:rsid w:val="0036552A"/>
    <w:rsid w:val="0037632B"/>
    <w:rsid w:val="00392C82"/>
    <w:rsid w:val="00394BE4"/>
    <w:rsid w:val="003C26CA"/>
    <w:rsid w:val="003C4BA8"/>
    <w:rsid w:val="003C597C"/>
    <w:rsid w:val="003C7A4A"/>
    <w:rsid w:val="003D079A"/>
    <w:rsid w:val="003D1CD7"/>
    <w:rsid w:val="00411B2A"/>
    <w:rsid w:val="00411DE9"/>
    <w:rsid w:val="00415C1D"/>
    <w:rsid w:val="00417C02"/>
    <w:rsid w:val="00420A22"/>
    <w:rsid w:val="00422A9F"/>
    <w:rsid w:val="0043527B"/>
    <w:rsid w:val="0044263A"/>
    <w:rsid w:val="00456B97"/>
    <w:rsid w:val="0047316D"/>
    <w:rsid w:val="00485CB8"/>
    <w:rsid w:val="00487975"/>
    <w:rsid w:val="00490761"/>
    <w:rsid w:val="004948B5"/>
    <w:rsid w:val="004956F3"/>
    <w:rsid w:val="00495FBC"/>
    <w:rsid w:val="00496068"/>
    <w:rsid w:val="004A4211"/>
    <w:rsid w:val="004B6675"/>
    <w:rsid w:val="004B76BD"/>
    <w:rsid w:val="004C0919"/>
    <w:rsid w:val="004D160A"/>
    <w:rsid w:val="004D21E0"/>
    <w:rsid w:val="004D440E"/>
    <w:rsid w:val="004D6C10"/>
    <w:rsid w:val="00502EDB"/>
    <w:rsid w:val="005043F0"/>
    <w:rsid w:val="00513015"/>
    <w:rsid w:val="00527F6A"/>
    <w:rsid w:val="005418A2"/>
    <w:rsid w:val="00542A26"/>
    <w:rsid w:val="00551097"/>
    <w:rsid w:val="005571E6"/>
    <w:rsid w:val="00562932"/>
    <w:rsid w:val="005734AD"/>
    <w:rsid w:val="00574F15"/>
    <w:rsid w:val="00575747"/>
    <w:rsid w:val="005805A6"/>
    <w:rsid w:val="00584705"/>
    <w:rsid w:val="00596F4C"/>
    <w:rsid w:val="00597885"/>
    <w:rsid w:val="005A4B01"/>
    <w:rsid w:val="005A4D94"/>
    <w:rsid w:val="005B39D1"/>
    <w:rsid w:val="005B42E2"/>
    <w:rsid w:val="005B6A43"/>
    <w:rsid w:val="005C08A1"/>
    <w:rsid w:val="005C29B3"/>
    <w:rsid w:val="005C48E3"/>
    <w:rsid w:val="005C7075"/>
    <w:rsid w:val="005C793A"/>
    <w:rsid w:val="005D2269"/>
    <w:rsid w:val="005D5106"/>
    <w:rsid w:val="005E02C9"/>
    <w:rsid w:val="005E060F"/>
    <w:rsid w:val="005E2B28"/>
    <w:rsid w:val="005E4C68"/>
    <w:rsid w:val="005E7B9B"/>
    <w:rsid w:val="005E7D30"/>
    <w:rsid w:val="005F16CF"/>
    <w:rsid w:val="005F3947"/>
    <w:rsid w:val="005F64EA"/>
    <w:rsid w:val="005F6A14"/>
    <w:rsid w:val="00607392"/>
    <w:rsid w:val="00622787"/>
    <w:rsid w:val="00626EF7"/>
    <w:rsid w:val="0062755A"/>
    <w:rsid w:val="006337C9"/>
    <w:rsid w:val="006432B1"/>
    <w:rsid w:val="00646827"/>
    <w:rsid w:val="00651FCA"/>
    <w:rsid w:val="00652CBF"/>
    <w:rsid w:val="00656857"/>
    <w:rsid w:val="00661119"/>
    <w:rsid w:val="0066172A"/>
    <w:rsid w:val="00662D37"/>
    <w:rsid w:val="00665ACC"/>
    <w:rsid w:val="00674DF3"/>
    <w:rsid w:val="00677D3C"/>
    <w:rsid w:val="006A60AC"/>
    <w:rsid w:val="006A6424"/>
    <w:rsid w:val="006A6B89"/>
    <w:rsid w:val="006B59C6"/>
    <w:rsid w:val="006B6809"/>
    <w:rsid w:val="006C148C"/>
    <w:rsid w:val="006C2E2E"/>
    <w:rsid w:val="006D17CD"/>
    <w:rsid w:val="006E735E"/>
    <w:rsid w:val="006F0469"/>
    <w:rsid w:val="006F2B7B"/>
    <w:rsid w:val="006F5EB7"/>
    <w:rsid w:val="007031D0"/>
    <w:rsid w:val="00704A64"/>
    <w:rsid w:val="00704E7C"/>
    <w:rsid w:val="00711D75"/>
    <w:rsid w:val="00712266"/>
    <w:rsid w:val="007205E1"/>
    <w:rsid w:val="0072322E"/>
    <w:rsid w:val="0072524C"/>
    <w:rsid w:val="00732045"/>
    <w:rsid w:val="00753087"/>
    <w:rsid w:val="007545E8"/>
    <w:rsid w:val="00761B59"/>
    <w:rsid w:val="007622A2"/>
    <w:rsid w:val="00773502"/>
    <w:rsid w:val="007755F2"/>
    <w:rsid w:val="00775CED"/>
    <w:rsid w:val="00785A94"/>
    <w:rsid w:val="00792F69"/>
    <w:rsid w:val="00794F54"/>
    <w:rsid w:val="00795F00"/>
    <w:rsid w:val="007961BE"/>
    <w:rsid w:val="007A12CC"/>
    <w:rsid w:val="007A496D"/>
    <w:rsid w:val="007B1875"/>
    <w:rsid w:val="007B1DA7"/>
    <w:rsid w:val="007B222F"/>
    <w:rsid w:val="007B7886"/>
    <w:rsid w:val="007C178E"/>
    <w:rsid w:val="007C3AB6"/>
    <w:rsid w:val="007D167D"/>
    <w:rsid w:val="007D21B4"/>
    <w:rsid w:val="007E1948"/>
    <w:rsid w:val="007E53B8"/>
    <w:rsid w:val="007E5C57"/>
    <w:rsid w:val="007E61D4"/>
    <w:rsid w:val="007F0AB8"/>
    <w:rsid w:val="00802F8C"/>
    <w:rsid w:val="00817F1D"/>
    <w:rsid w:val="0082508C"/>
    <w:rsid w:val="00835B97"/>
    <w:rsid w:val="008365E9"/>
    <w:rsid w:val="008412F4"/>
    <w:rsid w:val="00842484"/>
    <w:rsid w:val="00860D64"/>
    <w:rsid w:val="00873E99"/>
    <w:rsid w:val="00876AAF"/>
    <w:rsid w:val="00882AD8"/>
    <w:rsid w:val="00890644"/>
    <w:rsid w:val="00894B2C"/>
    <w:rsid w:val="008B11C1"/>
    <w:rsid w:val="008B181C"/>
    <w:rsid w:val="008B1DAC"/>
    <w:rsid w:val="008C27C6"/>
    <w:rsid w:val="008C3DCA"/>
    <w:rsid w:val="008D05F3"/>
    <w:rsid w:val="008D1145"/>
    <w:rsid w:val="009029CB"/>
    <w:rsid w:val="00902CE9"/>
    <w:rsid w:val="00910945"/>
    <w:rsid w:val="0091393A"/>
    <w:rsid w:val="00922E7F"/>
    <w:rsid w:val="00945ADC"/>
    <w:rsid w:val="00946E1E"/>
    <w:rsid w:val="0094757B"/>
    <w:rsid w:val="00952B0D"/>
    <w:rsid w:val="00953859"/>
    <w:rsid w:val="009559EB"/>
    <w:rsid w:val="009627F8"/>
    <w:rsid w:val="00963D43"/>
    <w:rsid w:val="00971ABD"/>
    <w:rsid w:val="00975A72"/>
    <w:rsid w:val="00976B30"/>
    <w:rsid w:val="00977F05"/>
    <w:rsid w:val="00985148"/>
    <w:rsid w:val="00985C5F"/>
    <w:rsid w:val="0098638D"/>
    <w:rsid w:val="009A0439"/>
    <w:rsid w:val="009B31A2"/>
    <w:rsid w:val="009B7C4E"/>
    <w:rsid w:val="009E0BDB"/>
    <w:rsid w:val="009E1571"/>
    <w:rsid w:val="009E3603"/>
    <w:rsid w:val="009E3AAB"/>
    <w:rsid w:val="009E54E5"/>
    <w:rsid w:val="009E5E55"/>
    <w:rsid w:val="00A21F7D"/>
    <w:rsid w:val="00A24B66"/>
    <w:rsid w:val="00A27C63"/>
    <w:rsid w:val="00A30C90"/>
    <w:rsid w:val="00A3142B"/>
    <w:rsid w:val="00A31A5F"/>
    <w:rsid w:val="00A31DB2"/>
    <w:rsid w:val="00A511FD"/>
    <w:rsid w:val="00A51B11"/>
    <w:rsid w:val="00A55DE3"/>
    <w:rsid w:val="00A81ECF"/>
    <w:rsid w:val="00A81FCB"/>
    <w:rsid w:val="00A84DE0"/>
    <w:rsid w:val="00A86516"/>
    <w:rsid w:val="00A907FC"/>
    <w:rsid w:val="00A90E08"/>
    <w:rsid w:val="00AA7BB4"/>
    <w:rsid w:val="00AB4652"/>
    <w:rsid w:val="00AB659E"/>
    <w:rsid w:val="00AC18BD"/>
    <w:rsid w:val="00AD2093"/>
    <w:rsid w:val="00AD5C11"/>
    <w:rsid w:val="00AD77B6"/>
    <w:rsid w:val="00AE0067"/>
    <w:rsid w:val="00AE10DA"/>
    <w:rsid w:val="00AE2E47"/>
    <w:rsid w:val="00AE749D"/>
    <w:rsid w:val="00AF1F7E"/>
    <w:rsid w:val="00B030CB"/>
    <w:rsid w:val="00B11766"/>
    <w:rsid w:val="00B177EC"/>
    <w:rsid w:val="00B25711"/>
    <w:rsid w:val="00B324CD"/>
    <w:rsid w:val="00B46D5A"/>
    <w:rsid w:val="00B46ECA"/>
    <w:rsid w:val="00B527C5"/>
    <w:rsid w:val="00B625C4"/>
    <w:rsid w:val="00B66467"/>
    <w:rsid w:val="00B704B3"/>
    <w:rsid w:val="00B75CD6"/>
    <w:rsid w:val="00B81C94"/>
    <w:rsid w:val="00B859EC"/>
    <w:rsid w:val="00B8721F"/>
    <w:rsid w:val="00B91E41"/>
    <w:rsid w:val="00B931C6"/>
    <w:rsid w:val="00B944A1"/>
    <w:rsid w:val="00B9753F"/>
    <w:rsid w:val="00BA18FD"/>
    <w:rsid w:val="00BB578D"/>
    <w:rsid w:val="00BC3BDE"/>
    <w:rsid w:val="00BD3766"/>
    <w:rsid w:val="00BE32B3"/>
    <w:rsid w:val="00C0016D"/>
    <w:rsid w:val="00C16B65"/>
    <w:rsid w:val="00C20E48"/>
    <w:rsid w:val="00C22A54"/>
    <w:rsid w:val="00C23220"/>
    <w:rsid w:val="00C31951"/>
    <w:rsid w:val="00C36EC2"/>
    <w:rsid w:val="00C37256"/>
    <w:rsid w:val="00C40CB0"/>
    <w:rsid w:val="00C42D17"/>
    <w:rsid w:val="00C44111"/>
    <w:rsid w:val="00C44B00"/>
    <w:rsid w:val="00C465E9"/>
    <w:rsid w:val="00C46D70"/>
    <w:rsid w:val="00C50AFC"/>
    <w:rsid w:val="00C62A38"/>
    <w:rsid w:val="00C80DB7"/>
    <w:rsid w:val="00C938CD"/>
    <w:rsid w:val="00C9433C"/>
    <w:rsid w:val="00CA55DC"/>
    <w:rsid w:val="00CA5D88"/>
    <w:rsid w:val="00CA622F"/>
    <w:rsid w:val="00CB7CBD"/>
    <w:rsid w:val="00CC3101"/>
    <w:rsid w:val="00CC3D62"/>
    <w:rsid w:val="00CF3872"/>
    <w:rsid w:val="00D013A7"/>
    <w:rsid w:val="00D03373"/>
    <w:rsid w:val="00D0692D"/>
    <w:rsid w:val="00D12F88"/>
    <w:rsid w:val="00D1784E"/>
    <w:rsid w:val="00D20B71"/>
    <w:rsid w:val="00D46FA8"/>
    <w:rsid w:val="00D46FAD"/>
    <w:rsid w:val="00D50852"/>
    <w:rsid w:val="00D553D3"/>
    <w:rsid w:val="00D663F9"/>
    <w:rsid w:val="00D7052C"/>
    <w:rsid w:val="00D76A86"/>
    <w:rsid w:val="00D901E2"/>
    <w:rsid w:val="00D97CBD"/>
    <w:rsid w:val="00DA2C92"/>
    <w:rsid w:val="00DA59D7"/>
    <w:rsid w:val="00DA5D29"/>
    <w:rsid w:val="00DB170B"/>
    <w:rsid w:val="00DD28B8"/>
    <w:rsid w:val="00DD3EB8"/>
    <w:rsid w:val="00DD6AC2"/>
    <w:rsid w:val="00DD73BE"/>
    <w:rsid w:val="00DE2FE3"/>
    <w:rsid w:val="00DF1635"/>
    <w:rsid w:val="00DF31EE"/>
    <w:rsid w:val="00E01CD8"/>
    <w:rsid w:val="00E147DF"/>
    <w:rsid w:val="00E27697"/>
    <w:rsid w:val="00E3050D"/>
    <w:rsid w:val="00E31931"/>
    <w:rsid w:val="00E35DAF"/>
    <w:rsid w:val="00E377B1"/>
    <w:rsid w:val="00E4048C"/>
    <w:rsid w:val="00E407C8"/>
    <w:rsid w:val="00E55FAC"/>
    <w:rsid w:val="00E60718"/>
    <w:rsid w:val="00E63CC2"/>
    <w:rsid w:val="00E6632F"/>
    <w:rsid w:val="00E72CFD"/>
    <w:rsid w:val="00E73DBF"/>
    <w:rsid w:val="00E7487A"/>
    <w:rsid w:val="00E832E3"/>
    <w:rsid w:val="00E87F68"/>
    <w:rsid w:val="00EA1201"/>
    <w:rsid w:val="00EA1B50"/>
    <w:rsid w:val="00EA61A2"/>
    <w:rsid w:val="00EA71EC"/>
    <w:rsid w:val="00EB018A"/>
    <w:rsid w:val="00EC25AF"/>
    <w:rsid w:val="00EC516E"/>
    <w:rsid w:val="00EC7248"/>
    <w:rsid w:val="00EE41A7"/>
    <w:rsid w:val="00EF49C2"/>
    <w:rsid w:val="00EF5B1E"/>
    <w:rsid w:val="00EF63DC"/>
    <w:rsid w:val="00EF7648"/>
    <w:rsid w:val="00F016B4"/>
    <w:rsid w:val="00F05136"/>
    <w:rsid w:val="00F05911"/>
    <w:rsid w:val="00F06638"/>
    <w:rsid w:val="00F116A1"/>
    <w:rsid w:val="00F11BA9"/>
    <w:rsid w:val="00F14EF5"/>
    <w:rsid w:val="00F216AA"/>
    <w:rsid w:val="00F24431"/>
    <w:rsid w:val="00F27F19"/>
    <w:rsid w:val="00F35264"/>
    <w:rsid w:val="00F353C7"/>
    <w:rsid w:val="00F37A40"/>
    <w:rsid w:val="00F40B94"/>
    <w:rsid w:val="00F413BA"/>
    <w:rsid w:val="00F435D8"/>
    <w:rsid w:val="00F73605"/>
    <w:rsid w:val="00F74E2F"/>
    <w:rsid w:val="00F932B2"/>
    <w:rsid w:val="00F93C3D"/>
    <w:rsid w:val="00FA456B"/>
    <w:rsid w:val="00FA5978"/>
    <w:rsid w:val="00FA67C0"/>
    <w:rsid w:val="00FA6C7E"/>
    <w:rsid w:val="00FB432F"/>
    <w:rsid w:val="00FC1C97"/>
    <w:rsid w:val="00FC49A3"/>
    <w:rsid w:val="00FD2029"/>
    <w:rsid w:val="00FD4EE8"/>
    <w:rsid w:val="00FD6C4F"/>
    <w:rsid w:val="00FF75A7"/>
    <w:rsid w:val="00FF7F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80CDAD"/>
  <w15:chartTrackingRefBased/>
  <w15:docId w15:val="{44DA17CB-C578-4D6F-8B47-33C690E6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7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86"/>
  </w:style>
  <w:style w:type="paragraph" w:styleId="Piedepgina">
    <w:name w:val="footer"/>
    <w:basedOn w:val="Normal"/>
    <w:link w:val="PiedepginaCar"/>
    <w:uiPriority w:val="99"/>
    <w:unhideWhenUsed/>
    <w:rsid w:val="007B7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86"/>
  </w:style>
  <w:style w:type="table" w:styleId="Tablaconcuadrcula">
    <w:name w:val="Table Grid"/>
    <w:basedOn w:val="Tablanormal"/>
    <w:uiPriority w:val="39"/>
    <w:rsid w:val="007B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2D3E"/>
    <w:pPr>
      <w:ind w:left="720"/>
      <w:contextualSpacing/>
    </w:pPr>
  </w:style>
  <w:style w:type="paragraph" w:styleId="NormalWeb">
    <w:name w:val="Normal (Web)"/>
    <w:basedOn w:val="Normal"/>
    <w:uiPriority w:val="99"/>
    <w:unhideWhenUsed/>
    <w:rsid w:val="007205E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DD6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AC2"/>
    <w:rPr>
      <w:rFonts w:ascii="Segoe UI" w:hAnsi="Segoe UI" w:cs="Segoe UI"/>
      <w:sz w:val="18"/>
      <w:szCs w:val="18"/>
    </w:rPr>
  </w:style>
  <w:style w:type="character" w:styleId="Textoennegrita">
    <w:name w:val="Strong"/>
    <w:basedOn w:val="Fuentedeprrafopredeter"/>
    <w:uiPriority w:val="22"/>
    <w:qFormat/>
    <w:rsid w:val="00EC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36">
      <w:bodyDiv w:val="1"/>
      <w:marLeft w:val="0"/>
      <w:marRight w:val="0"/>
      <w:marTop w:val="0"/>
      <w:marBottom w:val="0"/>
      <w:divBdr>
        <w:top w:val="none" w:sz="0" w:space="0" w:color="auto"/>
        <w:left w:val="none" w:sz="0" w:space="0" w:color="auto"/>
        <w:bottom w:val="none" w:sz="0" w:space="0" w:color="auto"/>
        <w:right w:val="none" w:sz="0" w:space="0" w:color="auto"/>
      </w:divBdr>
    </w:div>
    <w:div w:id="49809299">
      <w:bodyDiv w:val="1"/>
      <w:marLeft w:val="0"/>
      <w:marRight w:val="0"/>
      <w:marTop w:val="0"/>
      <w:marBottom w:val="0"/>
      <w:divBdr>
        <w:top w:val="none" w:sz="0" w:space="0" w:color="auto"/>
        <w:left w:val="none" w:sz="0" w:space="0" w:color="auto"/>
        <w:bottom w:val="none" w:sz="0" w:space="0" w:color="auto"/>
        <w:right w:val="none" w:sz="0" w:space="0" w:color="auto"/>
      </w:divBdr>
    </w:div>
    <w:div w:id="121122466">
      <w:bodyDiv w:val="1"/>
      <w:marLeft w:val="0"/>
      <w:marRight w:val="0"/>
      <w:marTop w:val="0"/>
      <w:marBottom w:val="0"/>
      <w:divBdr>
        <w:top w:val="none" w:sz="0" w:space="0" w:color="auto"/>
        <w:left w:val="none" w:sz="0" w:space="0" w:color="auto"/>
        <w:bottom w:val="none" w:sz="0" w:space="0" w:color="auto"/>
        <w:right w:val="none" w:sz="0" w:space="0" w:color="auto"/>
      </w:divBdr>
    </w:div>
    <w:div w:id="143471248">
      <w:bodyDiv w:val="1"/>
      <w:marLeft w:val="0"/>
      <w:marRight w:val="0"/>
      <w:marTop w:val="0"/>
      <w:marBottom w:val="0"/>
      <w:divBdr>
        <w:top w:val="none" w:sz="0" w:space="0" w:color="auto"/>
        <w:left w:val="none" w:sz="0" w:space="0" w:color="auto"/>
        <w:bottom w:val="none" w:sz="0" w:space="0" w:color="auto"/>
        <w:right w:val="none" w:sz="0" w:space="0" w:color="auto"/>
      </w:divBdr>
    </w:div>
    <w:div w:id="283854116">
      <w:bodyDiv w:val="1"/>
      <w:marLeft w:val="0"/>
      <w:marRight w:val="0"/>
      <w:marTop w:val="0"/>
      <w:marBottom w:val="0"/>
      <w:divBdr>
        <w:top w:val="none" w:sz="0" w:space="0" w:color="auto"/>
        <w:left w:val="none" w:sz="0" w:space="0" w:color="auto"/>
        <w:bottom w:val="none" w:sz="0" w:space="0" w:color="auto"/>
        <w:right w:val="none" w:sz="0" w:space="0" w:color="auto"/>
      </w:divBdr>
    </w:div>
    <w:div w:id="301233812">
      <w:bodyDiv w:val="1"/>
      <w:marLeft w:val="0"/>
      <w:marRight w:val="0"/>
      <w:marTop w:val="0"/>
      <w:marBottom w:val="0"/>
      <w:divBdr>
        <w:top w:val="none" w:sz="0" w:space="0" w:color="auto"/>
        <w:left w:val="none" w:sz="0" w:space="0" w:color="auto"/>
        <w:bottom w:val="none" w:sz="0" w:space="0" w:color="auto"/>
        <w:right w:val="none" w:sz="0" w:space="0" w:color="auto"/>
      </w:divBdr>
    </w:div>
    <w:div w:id="316879357">
      <w:bodyDiv w:val="1"/>
      <w:marLeft w:val="0"/>
      <w:marRight w:val="0"/>
      <w:marTop w:val="0"/>
      <w:marBottom w:val="0"/>
      <w:divBdr>
        <w:top w:val="none" w:sz="0" w:space="0" w:color="auto"/>
        <w:left w:val="none" w:sz="0" w:space="0" w:color="auto"/>
        <w:bottom w:val="none" w:sz="0" w:space="0" w:color="auto"/>
        <w:right w:val="none" w:sz="0" w:space="0" w:color="auto"/>
      </w:divBdr>
    </w:div>
    <w:div w:id="317806521">
      <w:bodyDiv w:val="1"/>
      <w:marLeft w:val="0"/>
      <w:marRight w:val="0"/>
      <w:marTop w:val="0"/>
      <w:marBottom w:val="0"/>
      <w:divBdr>
        <w:top w:val="none" w:sz="0" w:space="0" w:color="auto"/>
        <w:left w:val="none" w:sz="0" w:space="0" w:color="auto"/>
        <w:bottom w:val="none" w:sz="0" w:space="0" w:color="auto"/>
        <w:right w:val="none" w:sz="0" w:space="0" w:color="auto"/>
      </w:divBdr>
    </w:div>
    <w:div w:id="323092729">
      <w:bodyDiv w:val="1"/>
      <w:marLeft w:val="0"/>
      <w:marRight w:val="0"/>
      <w:marTop w:val="0"/>
      <w:marBottom w:val="0"/>
      <w:divBdr>
        <w:top w:val="none" w:sz="0" w:space="0" w:color="auto"/>
        <w:left w:val="none" w:sz="0" w:space="0" w:color="auto"/>
        <w:bottom w:val="none" w:sz="0" w:space="0" w:color="auto"/>
        <w:right w:val="none" w:sz="0" w:space="0" w:color="auto"/>
      </w:divBdr>
    </w:div>
    <w:div w:id="418795554">
      <w:bodyDiv w:val="1"/>
      <w:marLeft w:val="0"/>
      <w:marRight w:val="0"/>
      <w:marTop w:val="0"/>
      <w:marBottom w:val="0"/>
      <w:divBdr>
        <w:top w:val="none" w:sz="0" w:space="0" w:color="auto"/>
        <w:left w:val="none" w:sz="0" w:space="0" w:color="auto"/>
        <w:bottom w:val="none" w:sz="0" w:space="0" w:color="auto"/>
        <w:right w:val="none" w:sz="0" w:space="0" w:color="auto"/>
      </w:divBdr>
    </w:div>
    <w:div w:id="493573554">
      <w:bodyDiv w:val="1"/>
      <w:marLeft w:val="0"/>
      <w:marRight w:val="0"/>
      <w:marTop w:val="0"/>
      <w:marBottom w:val="0"/>
      <w:divBdr>
        <w:top w:val="none" w:sz="0" w:space="0" w:color="auto"/>
        <w:left w:val="none" w:sz="0" w:space="0" w:color="auto"/>
        <w:bottom w:val="none" w:sz="0" w:space="0" w:color="auto"/>
        <w:right w:val="none" w:sz="0" w:space="0" w:color="auto"/>
      </w:divBdr>
    </w:div>
    <w:div w:id="520555186">
      <w:bodyDiv w:val="1"/>
      <w:marLeft w:val="0"/>
      <w:marRight w:val="0"/>
      <w:marTop w:val="0"/>
      <w:marBottom w:val="0"/>
      <w:divBdr>
        <w:top w:val="none" w:sz="0" w:space="0" w:color="auto"/>
        <w:left w:val="none" w:sz="0" w:space="0" w:color="auto"/>
        <w:bottom w:val="none" w:sz="0" w:space="0" w:color="auto"/>
        <w:right w:val="none" w:sz="0" w:space="0" w:color="auto"/>
      </w:divBdr>
    </w:div>
    <w:div w:id="613099624">
      <w:bodyDiv w:val="1"/>
      <w:marLeft w:val="0"/>
      <w:marRight w:val="0"/>
      <w:marTop w:val="0"/>
      <w:marBottom w:val="0"/>
      <w:divBdr>
        <w:top w:val="none" w:sz="0" w:space="0" w:color="auto"/>
        <w:left w:val="none" w:sz="0" w:space="0" w:color="auto"/>
        <w:bottom w:val="none" w:sz="0" w:space="0" w:color="auto"/>
        <w:right w:val="none" w:sz="0" w:space="0" w:color="auto"/>
      </w:divBdr>
    </w:div>
    <w:div w:id="656421188">
      <w:bodyDiv w:val="1"/>
      <w:marLeft w:val="0"/>
      <w:marRight w:val="0"/>
      <w:marTop w:val="0"/>
      <w:marBottom w:val="0"/>
      <w:divBdr>
        <w:top w:val="none" w:sz="0" w:space="0" w:color="auto"/>
        <w:left w:val="none" w:sz="0" w:space="0" w:color="auto"/>
        <w:bottom w:val="none" w:sz="0" w:space="0" w:color="auto"/>
        <w:right w:val="none" w:sz="0" w:space="0" w:color="auto"/>
      </w:divBdr>
    </w:div>
    <w:div w:id="676075552">
      <w:bodyDiv w:val="1"/>
      <w:marLeft w:val="0"/>
      <w:marRight w:val="0"/>
      <w:marTop w:val="0"/>
      <w:marBottom w:val="0"/>
      <w:divBdr>
        <w:top w:val="none" w:sz="0" w:space="0" w:color="auto"/>
        <w:left w:val="none" w:sz="0" w:space="0" w:color="auto"/>
        <w:bottom w:val="none" w:sz="0" w:space="0" w:color="auto"/>
        <w:right w:val="none" w:sz="0" w:space="0" w:color="auto"/>
      </w:divBdr>
    </w:div>
    <w:div w:id="878276317">
      <w:bodyDiv w:val="1"/>
      <w:marLeft w:val="0"/>
      <w:marRight w:val="0"/>
      <w:marTop w:val="0"/>
      <w:marBottom w:val="0"/>
      <w:divBdr>
        <w:top w:val="none" w:sz="0" w:space="0" w:color="auto"/>
        <w:left w:val="none" w:sz="0" w:space="0" w:color="auto"/>
        <w:bottom w:val="none" w:sz="0" w:space="0" w:color="auto"/>
        <w:right w:val="none" w:sz="0" w:space="0" w:color="auto"/>
      </w:divBdr>
    </w:div>
    <w:div w:id="900869175">
      <w:bodyDiv w:val="1"/>
      <w:marLeft w:val="0"/>
      <w:marRight w:val="0"/>
      <w:marTop w:val="0"/>
      <w:marBottom w:val="0"/>
      <w:divBdr>
        <w:top w:val="none" w:sz="0" w:space="0" w:color="auto"/>
        <w:left w:val="none" w:sz="0" w:space="0" w:color="auto"/>
        <w:bottom w:val="none" w:sz="0" w:space="0" w:color="auto"/>
        <w:right w:val="none" w:sz="0" w:space="0" w:color="auto"/>
      </w:divBdr>
    </w:div>
    <w:div w:id="918908208">
      <w:bodyDiv w:val="1"/>
      <w:marLeft w:val="0"/>
      <w:marRight w:val="0"/>
      <w:marTop w:val="0"/>
      <w:marBottom w:val="0"/>
      <w:divBdr>
        <w:top w:val="none" w:sz="0" w:space="0" w:color="auto"/>
        <w:left w:val="none" w:sz="0" w:space="0" w:color="auto"/>
        <w:bottom w:val="none" w:sz="0" w:space="0" w:color="auto"/>
        <w:right w:val="none" w:sz="0" w:space="0" w:color="auto"/>
      </w:divBdr>
    </w:div>
    <w:div w:id="1102845664">
      <w:bodyDiv w:val="1"/>
      <w:marLeft w:val="0"/>
      <w:marRight w:val="0"/>
      <w:marTop w:val="0"/>
      <w:marBottom w:val="0"/>
      <w:divBdr>
        <w:top w:val="none" w:sz="0" w:space="0" w:color="auto"/>
        <w:left w:val="none" w:sz="0" w:space="0" w:color="auto"/>
        <w:bottom w:val="none" w:sz="0" w:space="0" w:color="auto"/>
        <w:right w:val="none" w:sz="0" w:space="0" w:color="auto"/>
      </w:divBdr>
    </w:div>
    <w:div w:id="1112626627">
      <w:bodyDiv w:val="1"/>
      <w:marLeft w:val="0"/>
      <w:marRight w:val="0"/>
      <w:marTop w:val="0"/>
      <w:marBottom w:val="0"/>
      <w:divBdr>
        <w:top w:val="none" w:sz="0" w:space="0" w:color="auto"/>
        <w:left w:val="none" w:sz="0" w:space="0" w:color="auto"/>
        <w:bottom w:val="none" w:sz="0" w:space="0" w:color="auto"/>
        <w:right w:val="none" w:sz="0" w:space="0" w:color="auto"/>
      </w:divBdr>
    </w:div>
    <w:div w:id="1114712350">
      <w:bodyDiv w:val="1"/>
      <w:marLeft w:val="0"/>
      <w:marRight w:val="0"/>
      <w:marTop w:val="0"/>
      <w:marBottom w:val="0"/>
      <w:divBdr>
        <w:top w:val="none" w:sz="0" w:space="0" w:color="auto"/>
        <w:left w:val="none" w:sz="0" w:space="0" w:color="auto"/>
        <w:bottom w:val="none" w:sz="0" w:space="0" w:color="auto"/>
        <w:right w:val="none" w:sz="0" w:space="0" w:color="auto"/>
      </w:divBdr>
    </w:div>
    <w:div w:id="1136333939">
      <w:bodyDiv w:val="1"/>
      <w:marLeft w:val="0"/>
      <w:marRight w:val="0"/>
      <w:marTop w:val="0"/>
      <w:marBottom w:val="0"/>
      <w:divBdr>
        <w:top w:val="none" w:sz="0" w:space="0" w:color="auto"/>
        <w:left w:val="none" w:sz="0" w:space="0" w:color="auto"/>
        <w:bottom w:val="none" w:sz="0" w:space="0" w:color="auto"/>
        <w:right w:val="none" w:sz="0" w:space="0" w:color="auto"/>
      </w:divBdr>
    </w:div>
    <w:div w:id="1210023740">
      <w:bodyDiv w:val="1"/>
      <w:marLeft w:val="0"/>
      <w:marRight w:val="0"/>
      <w:marTop w:val="0"/>
      <w:marBottom w:val="0"/>
      <w:divBdr>
        <w:top w:val="none" w:sz="0" w:space="0" w:color="auto"/>
        <w:left w:val="none" w:sz="0" w:space="0" w:color="auto"/>
        <w:bottom w:val="none" w:sz="0" w:space="0" w:color="auto"/>
        <w:right w:val="none" w:sz="0" w:space="0" w:color="auto"/>
      </w:divBdr>
    </w:div>
    <w:div w:id="1252470127">
      <w:bodyDiv w:val="1"/>
      <w:marLeft w:val="0"/>
      <w:marRight w:val="0"/>
      <w:marTop w:val="0"/>
      <w:marBottom w:val="0"/>
      <w:divBdr>
        <w:top w:val="none" w:sz="0" w:space="0" w:color="auto"/>
        <w:left w:val="none" w:sz="0" w:space="0" w:color="auto"/>
        <w:bottom w:val="none" w:sz="0" w:space="0" w:color="auto"/>
        <w:right w:val="none" w:sz="0" w:space="0" w:color="auto"/>
      </w:divBdr>
    </w:div>
    <w:div w:id="1293680812">
      <w:bodyDiv w:val="1"/>
      <w:marLeft w:val="0"/>
      <w:marRight w:val="0"/>
      <w:marTop w:val="0"/>
      <w:marBottom w:val="0"/>
      <w:divBdr>
        <w:top w:val="none" w:sz="0" w:space="0" w:color="auto"/>
        <w:left w:val="none" w:sz="0" w:space="0" w:color="auto"/>
        <w:bottom w:val="none" w:sz="0" w:space="0" w:color="auto"/>
        <w:right w:val="none" w:sz="0" w:space="0" w:color="auto"/>
      </w:divBdr>
    </w:div>
    <w:div w:id="1335298864">
      <w:bodyDiv w:val="1"/>
      <w:marLeft w:val="0"/>
      <w:marRight w:val="0"/>
      <w:marTop w:val="0"/>
      <w:marBottom w:val="0"/>
      <w:divBdr>
        <w:top w:val="none" w:sz="0" w:space="0" w:color="auto"/>
        <w:left w:val="none" w:sz="0" w:space="0" w:color="auto"/>
        <w:bottom w:val="none" w:sz="0" w:space="0" w:color="auto"/>
        <w:right w:val="none" w:sz="0" w:space="0" w:color="auto"/>
      </w:divBdr>
    </w:div>
    <w:div w:id="1465349267">
      <w:bodyDiv w:val="1"/>
      <w:marLeft w:val="0"/>
      <w:marRight w:val="0"/>
      <w:marTop w:val="0"/>
      <w:marBottom w:val="0"/>
      <w:divBdr>
        <w:top w:val="none" w:sz="0" w:space="0" w:color="auto"/>
        <w:left w:val="none" w:sz="0" w:space="0" w:color="auto"/>
        <w:bottom w:val="none" w:sz="0" w:space="0" w:color="auto"/>
        <w:right w:val="none" w:sz="0" w:space="0" w:color="auto"/>
      </w:divBdr>
    </w:div>
    <w:div w:id="1477410569">
      <w:bodyDiv w:val="1"/>
      <w:marLeft w:val="0"/>
      <w:marRight w:val="0"/>
      <w:marTop w:val="0"/>
      <w:marBottom w:val="0"/>
      <w:divBdr>
        <w:top w:val="none" w:sz="0" w:space="0" w:color="auto"/>
        <w:left w:val="none" w:sz="0" w:space="0" w:color="auto"/>
        <w:bottom w:val="none" w:sz="0" w:space="0" w:color="auto"/>
        <w:right w:val="none" w:sz="0" w:space="0" w:color="auto"/>
      </w:divBdr>
    </w:div>
    <w:div w:id="1526677387">
      <w:bodyDiv w:val="1"/>
      <w:marLeft w:val="0"/>
      <w:marRight w:val="0"/>
      <w:marTop w:val="0"/>
      <w:marBottom w:val="0"/>
      <w:divBdr>
        <w:top w:val="none" w:sz="0" w:space="0" w:color="auto"/>
        <w:left w:val="none" w:sz="0" w:space="0" w:color="auto"/>
        <w:bottom w:val="none" w:sz="0" w:space="0" w:color="auto"/>
        <w:right w:val="none" w:sz="0" w:space="0" w:color="auto"/>
      </w:divBdr>
    </w:div>
    <w:div w:id="1656766104">
      <w:bodyDiv w:val="1"/>
      <w:marLeft w:val="0"/>
      <w:marRight w:val="0"/>
      <w:marTop w:val="0"/>
      <w:marBottom w:val="0"/>
      <w:divBdr>
        <w:top w:val="none" w:sz="0" w:space="0" w:color="auto"/>
        <w:left w:val="none" w:sz="0" w:space="0" w:color="auto"/>
        <w:bottom w:val="none" w:sz="0" w:space="0" w:color="auto"/>
        <w:right w:val="none" w:sz="0" w:space="0" w:color="auto"/>
      </w:divBdr>
    </w:div>
    <w:div w:id="1686176998">
      <w:bodyDiv w:val="1"/>
      <w:marLeft w:val="0"/>
      <w:marRight w:val="0"/>
      <w:marTop w:val="0"/>
      <w:marBottom w:val="0"/>
      <w:divBdr>
        <w:top w:val="none" w:sz="0" w:space="0" w:color="auto"/>
        <w:left w:val="none" w:sz="0" w:space="0" w:color="auto"/>
        <w:bottom w:val="none" w:sz="0" w:space="0" w:color="auto"/>
        <w:right w:val="none" w:sz="0" w:space="0" w:color="auto"/>
      </w:divBdr>
    </w:div>
    <w:div w:id="1780567248">
      <w:bodyDiv w:val="1"/>
      <w:marLeft w:val="0"/>
      <w:marRight w:val="0"/>
      <w:marTop w:val="0"/>
      <w:marBottom w:val="0"/>
      <w:divBdr>
        <w:top w:val="none" w:sz="0" w:space="0" w:color="auto"/>
        <w:left w:val="none" w:sz="0" w:space="0" w:color="auto"/>
        <w:bottom w:val="none" w:sz="0" w:space="0" w:color="auto"/>
        <w:right w:val="none" w:sz="0" w:space="0" w:color="auto"/>
      </w:divBdr>
    </w:div>
    <w:div w:id="1884319083">
      <w:bodyDiv w:val="1"/>
      <w:marLeft w:val="0"/>
      <w:marRight w:val="0"/>
      <w:marTop w:val="0"/>
      <w:marBottom w:val="0"/>
      <w:divBdr>
        <w:top w:val="none" w:sz="0" w:space="0" w:color="auto"/>
        <w:left w:val="none" w:sz="0" w:space="0" w:color="auto"/>
        <w:bottom w:val="none" w:sz="0" w:space="0" w:color="auto"/>
        <w:right w:val="none" w:sz="0" w:space="0" w:color="auto"/>
      </w:divBdr>
    </w:div>
    <w:div w:id="1950969399">
      <w:bodyDiv w:val="1"/>
      <w:marLeft w:val="0"/>
      <w:marRight w:val="0"/>
      <w:marTop w:val="0"/>
      <w:marBottom w:val="0"/>
      <w:divBdr>
        <w:top w:val="none" w:sz="0" w:space="0" w:color="auto"/>
        <w:left w:val="none" w:sz="0" w:space="0" w:color="auto"/>
        <w:bottom w:val="none" w:sz="0" w:space="0" w:color="auto"/>
        <w:right w:val="none" w:sz="0" w:space="0" w:color="auto"/>
      </w:divBdr>
    </w:div>
    <w:div w:id="2033189578">
      <w:bodyDiv w:val="1"/>
      <w:marLeft w:val="0"/>
      <w:marRight w:val="0"/>
      <w:marTop w:val="0"/>
      <w:marBottom w:val="0"/>
      <w:divBdr>
        <w:top w:val="none" w:sz="0" w:space="0" w:color="auto"/>
        <w:left w:val="none" w:sz="0" w:space="0" w:color="auto"/>
        <w:bottom w:val="none" w:sz="0" w:space="0" w:color="auto"/>
        <w:right w:val="none" w:sz="0" w:space="0" w:color="auto"/>
      </w:divBdr>
    </w:div>
    <w:div w:id="21159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7E9F-B696-4F8F-B43D-447E7431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23</Pages>
  <Words>4616</Words>
  <Characters>25388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ITSPP</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Fatima Santana Hernandez</dc:creator>
  <cp:keywords/>
  <dc:description/>
  <cp:lastModifiedBy>DAVID ALEJANDRO  SOTO GRIJALVA</cp:lastModifiedBy>
  <cp:revision>41</cp:revision>
  <cp:lastPrinted>2024-08-26T22:12:00Z</cp:lastPrinted>
  <dcterms:created xsi:type="dcterms:W3CDTF">2023-07-10T21:05:00Z</dcterms:created>
  <dcterms:modified xsi:type="dcterms:W3CDTF">2025-01-22T20:53:00Z</dcterms:modified>
</cp:coreProperties>
</file>